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D66EE" w14:textId="77777777" w:rsidR="00F02B3E" w:rsidRDefault="007232EE">
      <w:pPr>
        <w:pStyle w:val="BodyText"/>
        <w:spacing w:before="67"/>
        <w:ind w:left="993" w:right="1137"/>
        <w:rPr>
          <w:rFonts w:ascii="Verdana" w:hAnsi="Verdana"/>
          <w:color w:val="00A9CE"/>
          <w:w w:val="90"/>
        </w:rPr>
      </w:pPr>
      <w:r>
        <w:rPr>
          <w:rFonts w:ascii="Verdana" w:hAnsi="Verdana"/>
          <w:noProof/>
          <w:color w:val="00A9CE"/>
          <w:w w:val="90"/>
          <w:lang w:val="fr-FR" w:eastAsia="fr-FR"/>
        </w:rPr>
        <w:drawing>
          <wp:anchor distT="0" distB="0" distL="0" distR="0" simplePos="0" relativeHeight="5" behindDoc="0" locked="0" layoutInCell="1" allowOverlap="1" wp14:anchorId="40135CBC" wp14:editId="41D96656">
            <wp:simplePos x="0" y="0"/>
            <wp:positionH relativeFrom="column">
              <wp:posOffset>2821940</wp:posOffset>
            </wp:positionH>
            <wp:positionV relativeFrom="paragraph">
              <wp:posOffset>-506730</wp:posOffset>
            </wp:positionV>
            <wp:extent cx="1952625" cy="144589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6"/>
                    <a:srcRect b="25864"/>
                    <a:stretch>
                      <a:fillRect/>
                    </a:stretch>
                  </pic:blipFill>
                  <pic:spPr bwMode="auto">
                    <a:xfrm>
                      <a:off x="0" y="0"/>
                      <a:ext cx="1952625" cy="1445895"/>
                    </a:xfrm>
                    <a:prstGeom prst="rect">
                      <a:avLst/>
                    </a:prstGeom>
                  </pic:spPr>
                </pic:pic>
              </a:graphicData>
            </a:graphic>
          </wp:anchor>
        </w:drawing>
      </w:r>
    </w:p>
    <w:p w14:paraId="5F1298BE" w14:textId="77777777" w:rsidR="00F02B3E" w:rsidRDefault="00F02B3E">
      <w:pPr>
        <w:pStyle w:val="BodyText"/>
        <w:spacing w:before="67"/>
        <w:ind w:left="993" w:right="1137"/>
        <w:rPr>
          <w:rFonts w:ascii="Verdana" w:hAnsi="Verdana"/>
          <w:color w:val="00A9CE"/>
          <w:w w:val="90"/>
        </w:rPr>
      </w:pPr>
    </w:p>
    <w:p w14:paraId="677A9A98" w14:textId="77777777" w:rsidR="00F02B3E" w:rsidRDefault="00F02B3E">
      <w:pPr>
        <w:pStyle w:val="BodyText"/>
        <w:spacing w:before="67"/>
        <w:ind w:left="993" w:right="1137"/>
        <w:rPr>
          <w:rFonts w:ascii="Verdana" w:hAnsi="Verdana"/>
          <w:color w:val="00A9CE"/>
          <w:w w:val="90"/>
        </w:rPr>
      </w:pPr>
    </w:p>
    <w:p w14:paraId="6589B6CC" w14:textId="77777777" w:rsidR="00F02B3E" w:rsidRDefault="00F02B3E">
      <w:pPr>
        <w:pStyle w:val="BodyText"/>
        <w:spacing w:before="67"/>
        <w:ind w:left="993" w:right="1137"/>
        <w:rPr>
          <w:rFonts w:ascii="Verdana" w:hAnsi="Verdana"/>
        </w:rPr>
      </w:pPr>
    </w:p>
    <w:p w14:paraId="6F369A6E" w14:textId="77777777" w:rsidR="00F02B3E" w:rsidRDefault="00F02B3E">
      <w:pPr>
        <w:pStyle w:val="BodyText"/>
        <w:spacing w:before="8"/>
        <w:ind w:left="993" w:right="1137"/>
        <w:rPr>
          <w:sz w:val="10"/>
        </w:rPr>
      </w:pPr>
    </w:p>
    <w:p w14:paraId="1CCF6480" w14:textId="77777777" w:rsidR="00F02B3E" w:rsidRDefault="00F02B3E">
      <w:pPr>
        <w:ind w:left="993" w:right="1137"/>
        <w:rPr>
          <w:rFonts w:ascii="Arial" w:hAnsi="Arial"/>
          <w:sz w:val="17"/>
        </w:rPr>
      </w:pPr>
    </w:p>
    <w:p w14:paraId="5B4F43C3" w14:textId="77777777" w:rsidR="00F02B3E" w:rsidRDefault="00F02B3E">
      <w:pPr>
        <w:sectPr w:rsidR="00F02B3E">
          <w:headerReference w:type="even" r:id="rId7"/>
          <w:headerReference w:type="default" r:id="rId8"/>
          <w:footerReference w:type="even" r:id="rId9"/>
          <w:footerReference w:type="default" r:id="rId10"/>
          <w:headerReference w:type="first" r:id="rId11"/>
          <w:footerReference w:type="first" r:id="rId12"/>
          <w:pgSz w:w="11906" w:h="16838"/>
          <w:pgMar w:top="777" w:right="0" w:bottom="777" w:left="0" w:header="720" w:footer="720" w:gutter="0"/>
          <w:cols w:space="720"/>
          <w:formProt w:val="0"/>
          <w:titlePg/>
        </w:sectPr>
      </w:pPr>
    </w:p>
    <w:p w14:paraId="0AE771B3" w14:textId="77777777" w:rsidR="00F02B3E" w:rsidRDefault="00F02B3E">
      <w:pPr>
        <w:spacing w:before="2" w:line="247" w:lineRule="auto"/>
        <w:ind w:left="993" w:right="1137"/>
        <w:rPr>
          <w:rFonts w:ascii="Arial" w:hAnsi="Arial"/>
          <w:b/>
          <w:sz w:val="21"/>
          <w:szCs w:val="24"/>
        </w:rPr>
      </w:pPr>
    </w:p>
    <w:p w14:paraId="6C019C0B" w14:textId="77777777" w:rsidR="00F02B3E" w:rsidRDefault="00F02B3E">
      <w:pPr>
        <w:spacing w:before="2" w:line="247" w:lineRule="auto"/>
        <w:ind w:left="993" w:right="1137"/>
        <w:rPr>
          <w:rFonts w:ascii="Verdana" w:hAnsi="Verdana"/>
          <w:bCs/>
          <w:sz w:val="15"/>
          <w:szCs w:val="18"/>
        </w:rPr>
      </w:pPr>
    </w:p>
    <w:p w14:paraId="14CC3ECC" w14:textId="53575055" w:rsidR="00F02B3E" w:rsidRDefault="007232EE">
      <w:pPr>
        <w:spacing w:before="2" w:line="247" w:lineRule="auto"/>
        <w:ind w:left="993" w:right="1137"/>
        <w:jc w:val="center"/>
        <w:rPr>
          <w:rFonts w:ascii="Verdana" w:hAnsi="Verdana"/>
          <w:b/>
          <w:color w:val="00A9CE"/>
          <w:sz w:val="28"/>
          <w:szCs w:val="28"/>
        </w:rPr>
      </w:pPr>
      <w:proofErr w:type="spellStart"/>
      <w:r>
        <w:rPr>
          <w:rFonts w:ascii="Verdana" w:hAnsi="Verdana"/>
          <w:b/>
          <w:color w:val="00A9CE"/>
          <w:sz w:val="28"/>
          <w:szCs w:val="28"/>
        </w:rPr>
        <w:t>SeaBeLife</w:t>
      </w:r>
      <w:proofErr w:type="spellEnd"/>
      <w:r>
        <w:rPr>
          <w:rFonts w:ascii="Verdana" w:hAnsi="Verdana"/>
          <w:b/>
          <w:color w:val="00A9CE"/>
          <w:sz w:val="28"/>
          <w:szCs w:val="28"/>
        </w:rPr>
        <w:t xml:space="preserve"> receives Orphan Drug Designation (ODD) from EMA for treatment </w:t>
      </w:r>
      <w:r w:rsidR="0096418C">
        <w:rPr>
          <w:rFonts w:ascii="Verdana" w:hAnsi="Verdana"/>
          <w:b/>
          <w:color w:val="00A9CE"/>
          <w:sz w:val="28"/>
          <w:szCs w:val="28"/>
        </w:rPr>
        <w:t xml:space="preserve">of </w:t>
      </w:r>
      <w:r>
        <w:rPr>
          <w:rFonts w:ascii="Verdana" w:hAnsi="Verdana"/>
          <w:b/>
          <w:color w:val="00A9CE"/>
          <w:sz w:val="28"/>
          <w:szCs w:val="28"/>
        </w:rPr>
        <w:t>acute liver failure</w:t>
      </w:r>
    </w:p>
    <w:p w14:paraId="7A91C1B1" w14:textId="77777777" w:rsidR="00F02B3E" w:rsidRDefault="00F02B3E">
      <w:pPr>
        <w:spacing w:before="2" w:line="247" w:lineRule="auto"/>
        <w:ind w:left="993" w:right="1137"/>
        <w:jc w:val="both"/>
        <w:rPr>
          <w:rFonts w:ascii="Verdana" w:hAnsi="Verdana"/>
          <w:bCs/>
          <w:sz w:val="20"/>
          <w:szCs w:val="20"/>
        </w:rPr>
      </w:pPr>
    </w:p>
    <w:p w14:paraId="44C09C3C" w14:textId="77777777" w:rsidR="00F02B3E" w:rsidRDefault="007232EE">
      <w:pPr>
        <w:ind w:left="993" w:right="1137"/>
        <w:jc w:val="center"/>
        <w:rPr>
          <w:rFonts w:ascii="Verdana" w:hAnsi="Verdana"/>
          <w:b/>
          <w:bCs/>
          <w:i/>
          <w:iCs/>
          <w:sz w:val="24"/>
          <w:szCs w:val="24"/>
        </w:rPr>
      </w:pPr>
      <w:r>
        <w:rPr>
          <w:rFonts w:ascii="Verdana" w:hAnsi="Verdana"/>
          <w:b/>
          <w:bCs/>
          <w:i/>
          <w:iCs/>
          <w:sz w:val="24"/>
          <w:szCs w:val="24"/>
        </w:rPr>
        <w:t xml:space="preserve">Orphan designation shows recognition of therapeutic potential of drug candidate SBL01 </w:t>
      </w:r>
      <w:r>
        <w:rPr>
          <w:rFonts w:ascii="Verdana" w:hAnsi="Verdana"/>
          <w:b/>
          <w:i/>
          <w:iCs/>
          <w:sz w:val="24"/>
          <w:szCs w:val="24"/>
        </w:rPr>
        <w:t>targeting two regulated cell death pathways</w:t>
      </w:r>
    </w:p>
    <w:p w14:paraId="2C368A3B" w14:textId="77777777" w:rsidR="00F02B3E" w:rsidRDefault="00F02B3E">
      <w:pPr>
        <w:ind w:left="993" w:right="1137"/>
        <w:jc w:val="center"/>
        <w:rPr>
          <w:rFonts w:ascii="Verdana" w:hAnsi="Verdana"/>
          <w:b/>
          <w:bCs/>
          <w:i/>
          <w:iCs/>
          <w:sz w:val="24"/>
          <w:szCs w:val="24"/>
        </w:rPr>
      </w:pPr>
    </w:p>
    <w:p w14:paraId="4361CA82" w14:textId="77777777" w:rsidR="00F02B3E" w:rsidRDefault="007232EE">
      <w:pPr>
        <w:ind w:left="993" w:right="1137"/>
        <w:jc w:val="center"/>
        <w:rPr>
          <w:rFonts w:ascii="Verdana" w:hAnsi="Verdana"/>
          <w:b/>
          <w:bCs/>
          <w:i/>
          <w:iCs/>
          <w:sz w:val="24"/>
          <w:szCs w:val="24"/>
        </w:rPr>
      </w:pPr>
      <w:r>
        <w:rPr>
          <w:rFonts w:ascii="Verdana" w:hAnsi="Verdana"/>
          <w:b/>
          <w:bCs/>
          <w:i/>
          <w:iCs/>
          <w:sz w:val="24"/>
          <w:szCs w:val="24"/>
        </w:rPr>
        <w:t xml:space="preserve">European Medicines Agency’s (EMA) granting of ODD status is key milestone for </w:t>
      </w:r>
      <w:proofErr w:type="spellStart"/>
      <w:r>
        <w:rPr>
          <w:rFonts w:ascii="Verdana" w:hAnsi="Verdana"/>
          <w:b/>
          <w:bCs/>
          <w:i/>
          <w:iCs/>
          <w:sz w:val="24"/>
          <w:szCs w:val="24"/>
        </w:rPr>
        <w:t>SeaBeLife</w:t>
      </w:r>
      <w:proofErr w:type="spellEnd"/>
      <w:r>
        <w:rPr>
          <w:rFonts w:ascii="Verdana" w:hAnsi="Verdana"/>
          <w:b/>
          <w:bCs/>
          <w:i/>
          <w:iCs/>
          <w:sz w:val="24"/>
          <w:szCs w:val="24"/>
        </w:rPr>
        <w:t xml:space="preserve"> and its innovative approach in treating severe disorders</w:t>
      </w:r>
    </w:p>
    <w:p w14:paraId="19A2A53C" w14:textId="77777777" w:rsidR="00F02B3E" w:rsidRDefault="007232EE">
      <w:pPr>
        <w:spacing w:before="2" w:line="247" w:lineRule="auto"/>
        <w:ind w:left="993" w:right="1137"/>
        <w:jc w:val="both"/>
        <w:rPr>
          <w:rFonts w:ascii="Verdana" w:hAnsi="Verdana"/>
          <w:b/>
          <w:i/>
          <w:iCs/>
          <w:sz w:val="20"/>
          <w:szCs w:val="20"/>
        </w:rPr>
      </w:pPr>
      <w:r>
        <w:rPr>
          <w:rFonts w:ascii="Verdana" w:hAnsi="Verdana"/>
          <w:b/>
          <w:i/>
          <w:iCs/>
          <w:noProof/>
          <w:sz w:val="20"/>
          <w:szCs w:val="20"/>
          <w:lang w:val="fr-FR" w:eastAsia="fr-FR"/>
        </w:rPr>
        <mc:AlternateContent>
          <mc:Choice Requires="wps">
            <w:drawing>
              <wp:anchor distT="0" distB="635" distL="0" distR="0" simplePos="0" relativeHeight="4" behindDoc="0" locked="0" layoutInCell="0" allowOverlap="1" wp14:anchorId="4C37BEB8" wp14:editId="119C6BA5">
                <wp:simplePos x="0" y="0"/>
                <wp:positionH relativeFrom="page">
                  <wp:posOffset>3387725</wp:posOffset>
                </wp:positionH>
                <wp:positionV relativeFrom="paragraph">
                  <wp:posOffset>283845</wp:posOffset>
                </wp:positionV>
                <wp:extent cx="645160" cy="1270"/>
                <wp:effectExtent l="12700" t="12700" r="2540" b="11430"/>
                <wp:wrapTopAndBottom/>
                <wp:docPr id="4" name="Freeform 655"/>
                <wp:cNvGraphicFramePr/>
                <a:graphic xmlns:a="http://schemas.openxmlformats.org/drawingml/2006/main">
                  <a:graphicData uri="http://schemas.microsoft.com/office/word/2010/wordprocessingShape">
                    <wps:wsp>
                      <wps:cNvSpPr/>
                      <wps:spPr>
                        <a:xfrm>
                          <a:off x="0" y="0"/>
                          <a:ext cx="645120" cy="1440"/>
                        </a:xfrm>
                        <a:custGeom>
                          <a:avLst/>
                          <a:gdLst>
                            <a:gd name="textAreaLeft" fmla="*/ 0 w 365760"/>
                            <a:gd name="textAreaRight" fmla="*/ 366120 w 365760"/>
                            <a:gd name="textAreaTop" fmla="*/ 0 h 720"/>
                            <a:gd name="textAreaBottom" fmla="*/ 1080 h 720"/>
                          </a:gdLst>
                          <a:ahLst/>
                          <a:cxnLst/>
                          <a:rect l="textAreaLeft" t="textAreaTop" r="textAreaRight" b="textAreaBottom"/>
                          <a:pathLst>
                            <a:path w="1016">
                              <a:moveTo>
                                <a:pt x="1016" y="0"/>
                              </a:moveTo>
                              <a:lnTo>
                                <a:pt x="0" y="0"/>
                              </a:lnTo>
                            </a:path>
                          </a:pathLst>
                        </a:custGeom>
                        <a:noFill/>
                        <a:ln w="25400">
                          <a:solidFill>
                            <a:srgbClr val="00A9CE"/>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9CD3991" id="Freeform 655" o:spid="_x0000_s1026" style="position:absolute;margin-left:266.75pt;margin-top:22.35pt;width:50.8pt;height:.1pt;z-index:4;visibility:visible;mso-wrap-style:square;mso-wrap-distance-left:0;mso-wrap-distance-top:0;mso-wrap-distance-right:0;mso-wrap-distance-bottom:.05pt;mso-position-horizontal:absolute;mso-position-horizontal-relative:page;mso-position-vertical:absolute;mso-position-vertical-relative:text;v-text-anchor:top" coordsize="1016,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" o:allowincell="f" path="m1016,l,e" filled="f" strokecolor="#00a9ce" strokeweight="2pt">
                <v:path arrowok="t" textboxrect="0,0,1017,2160"/>
                <w10:wrap type="topAndBottom" anchorx="page"/>
              </v:shape>
            </w:pict>
          </mc:Fallback>
        </mc:AlternateContent>
      </w:r>
    </w:p>
    <w:p w14:paraId="0FA9B7A1" w14:textId="77777777" w:rsidR="00F02B3E" w:rsidRDefault="00F02B3E">
      <w:pPr>
        <w:spacing w:before="2" w:line="247" w:lineRule="auto"/>
        <w:ind w:left="993" w:right="1137"/>
        <w:jc w:val="both"/>
        <w:rPr>
          <w:rFonts w:ascii="Verdana" w:hAnsi="Verdana"/>
          <w:bCs/>
          <w:sz w:val="20"/>
          <w:szCs w:val="20"/>
        </w:rPr>
      </w:pPr>
    </w:p>
    <w:p w14:paraId="7CF6643E" w14:textId="6A34E44C" w:rsidR="00F02B3E" w:rsidRDefault="007232EE">
      <w:pPr>
        <w:ind w:left="993" w:right="1140"/>
        <w:jc w:val="both"/>
        <w:rPr>
          <w:rFonts w:ascii="Verdana" w:hAnsi="Verdana"/>
          <w:color w:val="000000" w:themeColor="text1"/>
          <w:sz w:val="20"/>
          <w:szCs w:val="20"/>
        </w:rPr>
      </w:pPr>
      <w:r>
        <w:rPr>
          <w:rFonts w:ascii="Verdana" w:hAnsi="Verdana"/>
          <w:b/>
          <w:sz w:val="20"/>
          <w:szCs w:val="20"/>
        </w:rPr>
        <w:t xml:space="preserve">Roscoff, France, September </w:t>
      </w:r>
      <w:r w:rsidR="00AD45DC">
        <w:rPr>
          <w:rFonts w:ascii="Verdana" w:hAnsi="Verdana"/>
          <w:b/>
          <w:sz w:val="20"/>
          <w:szCs w:val="20"/>
        </w:rPr>
        <w:t>3</w:t>
      </w:r>
      <w:r>
        <w:rPr>
          <w:rFonts w:ascii="Verdana" w:hAnsi="Verdana"/>
          <w:b/>
          <w:sz w:val="20"/>
          <w:szCs w:val="20"/>
        </w:rPr>
        <w:t>, 2024</w:t>
      </w:r>
      <w:r>
        <w:rPr>
          <w:rFonts w:ascii="Verdana" w:hAnsi="Verdana"/>
          <w:sz w:val="20"/>
          <w:szCs w:val="20"/>
        </w:rPr>
        <w:t xml:space="preserve"> – </w:t>
      </w:r>
      <w:proofErr w:type="spellStart"/>
      <w:r>
        <w:rPr>
          <w:rFonts w:ascii="Verdana" w:hAnsi="Verdana"/>
          <w:sz w:val="20"/>
          <w:szCs w:val="20"/>
        </w:rPr>
        <w:t>SeaBeLife</w:t>
      </w:r>
      <w:proofErr w:type="spellEnd"/>
      <w:r>
        <w:rPr>
          <w:rFonts w:ascii="Verdana" w:hAnsi="Verdana"/>
          <w:sz w:val="20"/>
          <w:szCs w:val="20"/>
        </w:rPr>
        <w:t xml:space="preserve">, a biotechnology company developing drug candidates intended to block cellular necrosis, </w:t>
      </w:r>
      <w:r>
        <w:rPr>
          <w:rStyle w:val="Titreducommuniqugris"/>
          <w:rFonts w:ascii="Verdana" w:hAnsi="Verdana"/>
          <w:color w:val="000000" w:themeColor="text1"/>
          <w:sz w:val="20"/>
          <w:szCs w:val="20"/>
        </w:rPr>
        <w:t>today announces the grant</w:t>
      </w:r>
      <w:r w:rsidR="0092713F">
        <w:rPr>
          <w:rStyle w:val="Titreducommuniqugris"/>
          <w:rFonts w:ascii="Verdana" w:hAnsi="Verdana"/>
          <w:color w:val="000000" w:themeColor="text1"/>
          <w:sz w:val="20"/>
          <w:szCs w:val="20"/>
        </w:rPr>
        <w:t>ing</w:t>
      </w:r>
      <w:r>
        <w:rPr>
          <w:rStyle w:val="Titreducommuniqugris"/>
          <w:rFonts w:ascii="Verdana" w:hAnsi="Verdana"/>
          <w:color w:val="000000" w:themeColor="text1"/>
          <w:sz w:val="20"/>
          <w:szCs w:val="20"/>
        </w:rPr>
        <w:t xml:space="preserve"> of an Orphan Drug Designation (ODD) by the European Medicines Agency (EMA) for its drug candidate SBL01 in the </w:t>
      </w:r>
      <w:r w:rsidR="0096418C">
        <w:rPr>
          <w:rStyle w:val="Titreducommuniqugris"/>
          <w:rFonts w:ascii="Verdana" w:hAnsi="Verdana"/>
          <w:color w:val="000000" w:themeColor="text1"/>
          <w:sz w:val="20"/>
          <w:szCs w:val="20"/>
        </w:rPr>
        <w:t xml:space="preserve">treatment </w:t>
      </w:r>
      <w:r>
        <w:rPr>
          <w:rStyle w:val="Titreducommuniqugris"/>
          <w:rFonts w:ascii="Verdana" w:hAnsi="Verdana"/>
          <w:color w:val="000000" w:themeColor="text1"/>
          <w:sz w:val="20"/>
          <w:szCs w:val="20"/>
        </w:rPr>
        <w:t xml:space="preserve">of acute liver failure. </w:t>
      </w:r>
    </w:p>
    <w:p w14:paraId="137086AD" w14:textId="77777777" w:rsidR="00F02B3E" w:rsidRDefault="00F02B3E">
      <w:pPr>
        <w:ind w:left="993" w:right="1140"/>
        <w:jc w:val="both"/>
        <w:rPr>
          <w:rFonts w:ascii="Verdana" w:hAnsi="Verdana"/>
          <w:bCs/>
          <w:sz w:val="20"/>
          <w:szCs w:val="20"/>
        </w:rPr>
      </w:pPr>
    </w:p>
    <w:p w14:paraId="6FF272EC" w14:textId="1E1BA342" w:rsidR="00B455D0" w:rsidRDefault="007232EE">
      <w:pPr>
        <w:ind w:left="993" w:right="1140"/>
        <w:jc w:val="both"/>
        <w:rPr>
          <w:rFonts w:ascii="Verdana" w:hAnsi="Verdana"/>
          <w:sz w:val="20"/>
          <w:szCs w:val="20"/>
        </w:rPr>
      </w:pPr>
      <w:r>
        <w:rPr>
          <w:rFonts w:ascii="Verdana" w:hAnsi="Verdana"/>
          <w:sz w:val="20"/>
          <w:szCs w:val="20"/>
        </w:rPr>
        <w:t xml:space="preserve">Acute liver failure (ALF) is a life-threatening disease </w:t>
      </w:r>
      <w:r w:rsidR="0092713F">
        <w:rPr>
          <w:rFonts w:ascii="Verdana" w:hAnsi="Verdana"/>
          <w:sz w:val="20"/>
          <w:szCs w:val="20"/>
        </w:rPr>
        <w:t>which occurs</w:t>
      </w:r>
      <w:r>
        <w:rPr>
          <w:rFonts w:ascii="Verdana" w:hAnsi="Verdana"/>
          <w:sz w:val="20"/>
          <w:szCs w:val="20"/>
        </w:rPr>
        <w:t xml:space="preserve"> when the liver suddenly loses its ability to function in a person without a pre-existing liver disorder, resulting in encephalopathy (brain dysfunction) and coagulopathy (bleeding disorder). ALF often affects young people and carries a high morbidity and mortality </w:t>
      </w:r>
      <w:r w:rsidR="0092713F">
        <w:rPr>
          <w:rFonts w:ascii="Verdana" w:hAnsi="Verdana"/>
          <w:sz w:val="20"/>
          <w:szCs w:val="20"/>
        </w:rPr>
        <w:t xml:space="preserve">rate </w:t>
      </w:r>
      <w:r>
        <w:rPr>
          <w:rFonts w:ascii="Verdana" w:hAnsi="Verdana"/>
          <w:sz w:val="20"/>
          <w:szCs w:val="20"/>
        </w:rPr>
        <w:t xml:space="preserve">(85% when transplantation is not feasible). </w:t>
      </w:r>
    </w:p>
    <w:p w14:paraId="128F59D5" w14:textId="77777777" w:rsidR="00B455D0" w:rsidRDefault="00B455D0">
      <w:pPr>
        <w:ind w:left="993" w:right="1140"/>
        <w:jc w:val="both"/>
        <w:rPr>
          <w:rFonts w:ascii="Verdana" w:hAnsi="Verdana"/>
          <w:sz w:val="20"/>
          <w:szCs w:val="20"/>
        </w:rPr>
      </w:pPr>
    </w:p>
    <w:p w14:paraId="6CAEEED0" w14:textId="5AC3060F" w:rsidR="00B455D0" w:rsidRDefault="00B455D0">
      <w:pPr>
        <w:ind w:left="993" w:right="1140"/>
        <w:jc w:val="both"/>
        <w:rPr>
          <w:rFonts w:ascii="Verdana" w:hAnsi="Verdana"/>
          <w:sz w:val="20"/>
          <w:szCs w:val="20"/>
        </w:rPr>
      </w:pPr>
      <w:r>
        <w:rPr>
          <w:rFonts w:ascii="Verdana" w:hAnsi="Verdana"/>
          <w:sz w:val="20"/>
          <w:szCs w:val="20"/>
        </w:rPr>
        <w:t>In the EU, t</w:t>
      </w:r>
      <w:r w:rsidRPr="00D051DF">
        <w:rPr>
          <w:rFonts w:ascii="Verdana" w:hAnsi="Verdana"/>
          <w:sz w:val="20"/>
          <w:szCs w:val="20"/>
        </w:rPr>
        <w:t xml:space="preserve">he population of patients </w:t>
      </w:r>
      <w:r w:rsidR="0096418C">
        <w:rPr>
          <w:rFonts w:ascii="Verdana" w:hAnsi="Verdana"/>
          <w:sz w:val="20"/>
          <w:szCs w:val="20"/>
        </w:rPr>
        <w:t>with</w:t>
      </w:r>
      <w:r w:rsidRPr="00D051DF">
        <w:rPr>
          <w:rFonts w:ascii="Verdana" w:hAnsi="Verdana"/>
          <w:sz w:val="20"/>
          <w:szCs w:val="20"/>
        </w:rPr>
        <w:t xml:space="preserve"> </w:t>
      </w:r>
      <w:r>
        <w:rPr>
          <w:rFonts w:ascii="Verdana" w:hAnsi="Verdana"/>
          <w:sz w:val="20"/>
          <w:szCs w:val="20"/>
        </w:rPr>
        <w:t>ALF</w:t>
      </w:r>
      <w:r w:rsidRPr="00D051DF">
        <w:rPr>
          <w:rFonts w:ascii="Verdana" w:hAnsi="Verdana"/>
          <w:sz w:val="20"/>
          <w:szCs w:val="20"/>
        </w:rPr>
        <w:t xml:space="preserve"> </w:t>
      </w:r>
      <w:r>
        <w:rPr>
          <w:rFonts w:ascii="Verdana" w:hAnsi="Verdana"/>
          <w:sz w:val="20"/>
          <w:szCs w:val="20"/>
        </w:rPr>
        <w:t>is</w:t>
      </w:r>
      <w:r w:rsidRPr="00D051DF">
        <w:rPr>
          <w:rFonts w:ascii="Verdana" w:hAnsi="Verdana"/>
          <w:sz w:val="20"/>
          <w:szCs w:val="20"/>
        </w:rPr>
        <w:t xml:space="preserve"> </w:t>
      </w:r>
      <w:r>
        <w:rPr>
          <w:rFonts w:ascii="Verdana" w:hAnsi="Verdana"/>
          <w:sz w:val="20"/>
          <w:szCs w:val="20"/>
        </w:rPr>
        <w:t xml:space="preserve">estimated </w:t>
      </w:r>
      <w:r w:rsidR="0092713F">
        <w:rPr>
          <w:rFonts w:ascii="Verdana" w:hAnsi="Verdana"/>
          <w:sz w:val="20"/>
          <w:szCs w:val="20"/>
        </w:rPr>
        <w:t xml:space="preserve">to be </w:t>
      </w:r>
      <w:r>
        <w:rPr>
          <w:rFonts w:ascii="Verdana" w:hAnsi="Verdana"/>
          <w:sz w:val="20"/>
          <w:szCs w:val="20"/>
        </w:rPr>
        <w:t>between 1.3 and</w:t>
      </w:r>
      <w:r w:rsidRPr="00D051DF">
        <w:rPr>
          <w:rFonts w:ascii="Verdana" w:hAnsi="Verdana"/>
          <w:sz w:val="20"/>
          <w:szCs w:val="20"/>
        </w:rPr>
        <w:t xml:space="preserve"> 3</w:t>
      </w:r>
      <w:r>
        <w:rPr>
          <w:rFonts w:ascii="Verdana" w:hAnsi="Verdana"/>
          <w:sz w:val="20"/>
          <w:szCs w:val="20"/>
        </w:rPr>
        <w:t>.1</w:t>
      </w:r>
      <w:r w:rsidRPr="00D051DF">
        <w:rPr>
          <w:rFonts w:ascii="Verdana" w:hAnsi="Verdana"/>
          <w:sz w:val="20"/>
          <w:szCs w:val="20"/>
        </w:rPr>
        <w:t xml:space="preserve"> in </w:t>
      </w:r>
      <w:r w:rsidR="00AD45DC">
        <w:rPr>
          <w:rFonts w:ascii="Verdana" w:hAnsi="Verdana"/>
          <w:sz w:val="20"/>
          <w:szCs w:val="20"/>
        </w:rPr>
        <w:br/>
      </w:r>
      <w:r w:rsidRPr="00D051DF">
        <w:rPr>
          <w:rFonts w:ascii="Verdana" w:hAnsi="Verdana"/>
          <w:sz w:val="20"/>
          <w:szCs w:val="20"/>
        </w:rPr>
        <w:t>10,000</w:t>
      </w:r>
      <w:r>
        <w:rPr>
          <w:rStyle w:val="FootnoteReference"/>
          <w:rFonts w:ascii="Verdana" w:hAnsi="Verdana"/>
          <w:sz w:val="20"/>
          <w:szCs w:val="20"/>
        </w:rPr>
        <w:footnoteReference w:id="1"/>
      </w:r>
      <w:r>
        <w:rPr>
          <w:rFonts w:ascii="Verdana" w:hAnsi="Verdana"/>
          <w:sz w:val="20"/>
          <w:szCs w:val="20"/>
        </w:rPr>
        <w:t>.</w:t>
      </w:r>
      <w:r w:rsidRPr="005850DC">
        <w:rPr>
          <w:rFonts w:ascii="Verdana" w:hAnsi="Verdana"/>
          <w:sz w:val="20"/>
          <w:szCs w:val="20"/>
        </w:rPr>
        <w:t xml:space="preserve"> </w:t>
      </w:r>
      <w:r>
        <w:rPr>
          <w:rFonts w:ascii="Verdana" w:hAnsi="Verdana"/>
          <w:sz w:val="20"/>
          <w:szCs w:val="20"/>
        </w:rPr>
        <w:t xml:space="preserve">This </w:t>
      </w:r>
      <w:r w:rsidR="0092713F">
        <w:rPr>
          <w:rFonts w:ascii="Verdana" w:hAnsi="Verdana"/>
          <w:sz w:val="20"/>
          <w:szCs w:val="20"/>
        </w:rPr>
        <w:t xml:space="preserve">meets </w:t>
      </w:r>
      <w:r>
        <w:rPr>
          <w:rFonts w:ascii="Verdana" w:hAnsi="Verdana"/>
          <w:sz w:val="20"/>
          <w:szCs w:val="20"/>
        </w:rPr>
        <w:t>the EMA’s</w:t>
      </w:r>
      <w:r w:rsidRPr="00D051DF">
        <w:rPr>
          <w:rFonts w:ascii="Verdana" w:hAnsi="Verdana"/>
          <w:sz w:val="20"/>
          <w:szCs w:val="20"/>
        </w:rPr>
        <w:t xml:space="preserve"> </w:t>
      </w:r>
      <w:r w:rsidRPr="00D051DF">
        <w:rPr>
          <w:rFonts w:ascii="Verdana" w:hAnsi="Verdana"/>
          <w:color w:val="000000" w:themeColor="text1"/>
          <w:sz w:val="20"/>
          <w:szCs w:val="20"/>
        </w:rPr>
        <w:t>orphan designation</w:t>
      </w:r>
      <w:r>
        <w:rPr>
          <w:rFonts w:ascii="Verdana" w:hAnsi="Verdana"/>
          <w:color w:val="000000" w:themeColor="text1"/>
          <w:sz w:val="20"/>
          <w:szCs w:val="20"/>
        </w:rPr>
        <w:t xml:space="preserve"> threshold</w:t>
      </w:r>
      <w:r w:rsidR="0092713F">
        <w:rPr>
          <w:rFonts w:ascii="Verdana" w:hAnsi="Verdana"/>
          <w:color w:val="000000" w:themeColor="text1"/>
          <w:sz w:val="20"/>
          <w:szCs w:val="20"/>
        </w:rPr>
        <w:t>,</w:t>
      </w:r>
      <w:r>
        <w:rPr>
          <w:rFonts w:ascii="Verdana" w:hAnsi="Verdana"/>
          <w:color w:val="000000" w:themeColor="text1"/>
          <w:sz w:val="20"/>
          <w:szCs w:val="20"/>
        </w:rPr>
        <w:t xml:space="preserve"> which</w:t>
      </w:r>
      <w:r w:rsidRPr="00D051DF">
        <w:rPr>
          <w:rFonts w:ascii="Verdana" w:hAnsi="Verdana"/>
          <w:color w:val="000000" w:themeColor="text1"/>
          <w:sz w:val="20"/>
          <w:szCs w:val="20"/>
        </w:rPr>
        <w:t xml:space="preserve"> is targeted at conditions that affect no more than </w:t>
      </w:r>
      <w:r>
        <w:rPr>
          <w:rFonts w:ascii="Verdana" w:hAnsi="Verdana"/>
          <w:color w:val="000000" w:themeColor="text1"/>
          <w:sz w:val="20"/>
          <w:szCs w:val="20"/>
        </w:rPr>
        <w:t>5</w:t>
      </w:r>
      <w:r w:rsidRPr="00D051DF">
        <w:rPr>
          <w:rFonts w:ascii="Verdana" w:hAnsi="Verdana"/>
          <w:color w:val="000000" w:themeColor="text1"/>
          <w:sz w:val="20"/>
          <w:szCs w:val="20"/>
        </w:rPr>
        <w:t xml:space="preserve"> in 10,000 people</w:t>
      </w:r>
      <w:r>
        <w:rPr>
          <w:rFonts w:ascii="Verdana" w:hAnsi="Verdana"/>
          <w:color w:val="000000" w:themeColor="text1"/>
          <w:sz w:val="20"/>
          <w:szCs w:val="20"/>
        </w:rPr>
        <w:t xml:space="preserve">. </w:t>
      </w:r>
      <w:r w:rsidRPr="004A504B">
        <w:rPr>
          <w:rFonts w:ascii="Verdana" w:eastAsiaTheme="minorHAnsi" w:hAnsi="Verdana" w:cs="Helvetica Neue"/>
          <w:color w:val="000000"/>
          <w:sz w:val="20"/>
          <w:szCs w:val="20"/>
        </w:rPr>
        <w:t xml:space="preserve">With this ODD, </w:t>
      </w:r>
      <w:proofErr w:type="spellStart"/>
      <w:r w:rsidRPr="004A504B">
        <w:rPr>
          <w:rFonts w:ascii="Verdana" w:eastAsiaTheme="minorHAnsi" w:hAnsi="Verdana" w:cs="Helvetica Neue"/>
          <w:color w:val="000000"/>
          <w:sz w:val="20"/>
          <w:szCs w:val="20"/>
        </w:rPr>
        <w:t>SeaBeLife</w:t>
      </w:r>
      <w:proofErr w:type="spellEnd"/>
      <w:r w:rsidRPr="004A504B">
        <w:rPr>
          <w:rFonts w:ascii="Verdana" w:eastAsiaTheme="minorHAnsi" w:hAnsi="Verdana" w:cs="Helvetica Neue"/>
          <w:color w:val="000000"/>
          <w:sz w:val="20"/>
          <w:szCs w:val="20"/>
        </w:rPr>
        <w:t xml:space="preserve"> will be able to benefit from regulatory and financial incentives, including protocol assistance, reduced fees and market exclusivity for ten years upon </w:t>
      </w:r>
      <w:r w:rsidRPr="00B455D0">
        <w:rPr>
          <w:rFonts w:ascii="Verdana" w:eastAsiaTheme="minorHAnsi" w:hAnsi="Verdana" w:cs="Helvetica Neue"/>
          <w:color w:val="000000"/>
          <w:sz w:val="20"/>
          <w:szCs w:val="20"/>
        </w:rPr>
        <w:t>approval</w:t>
      </w:r>
      <w:r w:rsidRPr="0062160F">
        <w:rPr>
          <w:rFonts w:ascii="Verdana" w:hAnsi="Verdana"/>
          <w:bCs/>
          <w:i/>
          <w:iCs/>
          <w:sz w:val="20"/>
          <w:szCs w:val="20"/>
        </w:rPr>
        <w:t>.</w:t>
      </w:r>
    </w:p>
    <w:p w14:paraId="5EEB60E7" w14:textId="7C00098B" w:rsidR="00F02B3E" w:rsidRDefault="00000000">
      <w:pPr>
        <w:ind w:left="993" w:right="1140"/>
        <w:jc w:val="both"/>
        <w:rPr>
          <w:rFonts w:ascii="Verdana" w:hAnsi="Verdana"/>
          <w:sz w:val="20"/>
          <w:szCs w:val="20"/>
        </w:rPr>
      </w:pPr>
      <w:hyperlink r:id="rId13"/>
    </w:p>
    <w:p w14:paraId="06F177C1" w14:textId="2F854900" w:rsidR="00F02B3E" w:rsidRPr="00B455D0" w:rsidRDefault="00B455D0">
      <w:pPr>
        <w:ind w:left="993" w:right="1140"/>
        <w:jc w:val="both"/>
        <w:rPr>
          <w:rFonts w:ascii="Verdana" w:hAnsi="Verdana"/>
          <w:sz w:val="20"/>
          <w:szCs w:val="20"/>
        </w:rPr>
      </w:pPr>
      <w:r>
        <w:rPr>
          <w:rFonts w:ascii="Verdana" w:hAnsi="Verdana"/>
          <w:sz w:val="20"/>
          <w:szCs w:val="20"/>
        </w:rPr>
        <w:t>According to the</w:t>
      </w:r>
      <w:r w:rsidR="007232EE">
        <w:rPr>
          <w:rFonts w:ascii="Verdana" w:hAnsi="Verdana"/>
          <w:sz w:val="20"/>
          <w:szCs w:val="20"/>
        </w:rPr>
        <w:t xml:space="preserve"> EMA</w:t>
      </w:r>
      <w:r>
        <w:rPr>
          <w:rFonts w:ascii="Verdana" w:hAnsi="Verdana"/>
          <w:sz w:val="20"/>
          <w:szCs w:val="20"/>
        </w:rPr>
        <w:t xml:space="preserve">’s committee for orphan medicinal </w:t>
      </w:r>
      <w:r w:rsidRPr="00B455D0">
        <w:rPr>
          <w:rFonts w:ascii="Verdana" w:hAnsi="Verdana"/>
          <w:sz w:val="20"/>
          <w:szCs w:val="20"/>
        </w:rPr>
        <w:t>products</w:t>
      </w:r>
      <w:r w:rsidR="0092713F">
        <w:rPr>
          <w:rFonts w:ascii="Verdana" w:hAnsi="Verdana"/>
          <w:sz w:val="20"/>
          <w:szCs w:val="20"/>
        </w:rPr>
        <w:t>:</w:t>
      </w:r>
      <w:r w:rsidRPr="00B455D0">
        <w:rPr>
          <w:rFonts w:ascii="Verdana" w:hAnsi="Verdana"/>
          <w:sz w:val="20"/>
          <w:szCs w:val="20"/>
        </w:rPr>
        <w:t xml:space="preserve"> </w:t>
      </w:r>
      <w:r w:rsidR="007232EE" w:rsidRPr="0062160F">
        <w:rPr>
          <w:rFonts w:ascii="Verdana" w:hAnsi="Verdana"/>
          <w:sz w:val="20"/>
          <w:szCs w:val="20"/>
        </w:rPr>
        <w:t>“</w:t>
      </w:r>
      <w:r>
        <w:rPr>
          <w:rFonts w:ascii="Verdana" w:hAnsi="Verdana"/>
          <w:sz w:val="20"/>
          <w:szCs w:val="20"/>
        </w:rPr>
        <w:t>[</w:t>
      </w:r>
      <w:proofErr w:type="spellStart"/>
      <w:r>
        <w:rPr>
          <w:rFonts w:ascii="Verdana" w:hAnsi="Verdana"/>
          <w:sz w:val="20"/>
          <w:szCs w:val="20"/>
        </w:rPr>
        <w:t>SeaBeLife</w:t>
      </w:r>
      <w:proofErr w:type="spellEnd"/>
      <w:r>
        <w:rPr>
          <w:rFonts w:ascii="Verdana" w:hAnsi="Verdana"/>
          <w:sz w:val="20"/>
          <w:szCs w:val="20"/>
        </w:rPr>
        <w:t>]</w:t>
      </w:r>
      <w:r w:rsidR="007232EE" w:rsidRPr="0062160F">
        <w:rPr>
          <w:rFonts w:ascii="Verdana" w:hAnsi="Verdana"/>
          <w:sz w:val="20"/>
          <w:szCs w:val="20"/>
        </w:rPr>
        <w:t xml:space="preserve"> has provided non-clinical data in a model of acute liver failure showing reduced hepatotoxicity and improved survival when </w:t>
      </w:r>
      <w:r w:rsidR="0096418C">
        <w:rPr>
          <w:rFonts w:ascii="Verdana" w:hAnsi="Verdana"/>
          <w:sz w:val="20"/>
          <w:szCs w:val="20"/>
        </w:rPr>
        <w:t>SBL01</w:t>
      </w:r>
      <w:r w:rsidR="007232EE" w:rsidRPr="0062160F">
        <w:rPr>
          <w:rFonts w:ascii="Verdana" w:hAnsi="Verdana"/>
          <w:sz w:val="20"/>
          <w:szCs w:val="20"/>
        </w:rPr>
        <w:t xml:space="preserve"> was used in combination with the currently authorized product in the applied</w:t>
      </w:r>
      <w:bookmarkStart w:id="0" w:name="_GoBack_Copie_1"/>
      <w:bookmarkEnd w:id="0"/>
      <w:r w:rsidR="007232EE" w:rsidRPr="0062160F">
        <w:rPr>
          <w:rFonts w:ascii="Verdana" w:hAnsi="Verdana"/>
          <w:sz w:val="20"/>
          <w:szCs w:val="20"/>
        </w:rPr>
        <w:t xml:space="preserve"> for condition, as compared to the authorized product alone. The </w:t>
      </w:r>
      <w:r w:rsidR="0092713F">
        <w:rPr>
          <w:rFonts w:ascii="Verdana" w:hAnsi="Verdana"/>
          <w:sz w:val="20"/>
          <w:szCs w:val="20"/>
        </w:rPr>
        <w:t>c</w:t>
      </w:r>
      <w:r w:rsidR="007232EE" w:rsidRPr="0062160F">
        <w:rPr>
          <w:rFonts w:ascii="Verdana" w:hAnsi="Verdana"/>
          <w:sz w:val="20"/>
          <w:szCs w:val="20"/>
        </w:rPr>
        <w:t>ommittee considered that this constitutes a clinically relevant advantage.”</w:t>
      </w:r>
    </w:p>
    <w:p w14:paraId="788BE7EC" w14:textId="77777777" w:rsidR="00F02B3E" w:rsidRDefault="00F02B3E">
      <w:pPr>
        <w:ind w:right="1140"/>
        <w:jc w:val="both"/>
        <w:rPr>
          <w:rFonts w:ascii="Verdana" w:hAnsi="Verdana"/>
          <w:sz w:val="20"/>
          <w:szCs w:val="20"/>
        </w:rPr>
      </w:pPr>
    </w:p>
    <w:p w14:paraId="7D333CA3" w14:textId="231C2A52" w:rsidR="00F02B3E" w:rsidRDefault="007232EE">
      <w:pPr>
        <w:ind w:left="993" w:right="1140"/>
        <w:jc w:val="both"/>
        <w:rPr>
          <w:rFonts w:ascii="Verdana" w:hAnsi="Verdana"/>
          <w:sz w:val="20"/>
          <w:szCs w:val="20"/>
        </w:rPr>
      </w:pPr>
      <w:r>
        <w:rPr>
          <w:rFonts w:ascii="Verdana" w:hAnsi="Verdana"/>
          <w:color w:val="000000" w:themeColor="text1"/>
          <w:sz w:val="20"/>
          <w:szCs w:val="20"/>
        </w:rPr>
        <w:t xml:space="preserve">“We are thrilled to receive </w:t>
      </w:r>
      <w:r w:rsidR="00504F6B">
        <w:rPr>
          <w:rFonts w:ascii="Verdana" w:hAnsi="Verdana"/>
          <w:color w:val="000000" w:themeColor="text1"/>
          <w:sz w:val="20"/>
          <w:szCs w:val="20"/>
        </w:rPr>
        <w:t xml:space="preserve">the </w:t>
      </w:r>
      <w:r>
        <w:rPr>
          <w:rFonts w:ascii="Verdana" w:hAnsi="Verdana"/>
          <w:color w:val="000000" w:themeColor="text1"/>
          <w:sz w:val="20"/>
          <w:szCs w:val="20"/>
        </w:rPr>
        <w:t xml:space="preserve">orphan drug designation from European authorities. This is an important recognition of </w:t>
      </w:r>
      <w:r w:rsidR="00B455D0">
        <w:rPr>
          <w:rFonts w:ascii="Verdana" w:hAnsi="Verdana"/>
          <w:color w:val="000000" w:themeColor="text1"/>
          <w:sz w:val="20"/>
          <w:szCs w:val="20"/>
        </w:rPr>
        <w:t xml:space="preserve">our strong </w:t>
      </w:r>
      <w:r>
        <w:rPr>
          <w:rFonts w:ascii="Verdana" w:hAnsi="Verdana"/>
          <w:color w:val="000000" w:themeColor="text1"/>
          <w:sz w:val="20"/>
          <w:szCs w:val="20"/>
        </w:rPr>
        <w:t xml:space="preserve">preclinical research </w:t>
      </w:r>
      <w:r w:rsidR="00B455D0">
        <w:rPr>
          <w:rFonts w:ascii="Verdana" w:hAnsi="Verdana"/>
          <w:color w:val="000000" w:themeColor="text1"/>
          <w:sz w:val="20"/>
          <w:szCs w:val="20"/>
        </w:rPr>
        <w:t>dataset.</w:t>
      </w:r>
      <w:r>
        <w:rPr>
          <w:rFonts w:ascii="Verdana" w:hAnsi="Verdana"/>
          <w:color w:val="000000" w:themeColor="text1"/>
          <w:sz w:val="20"/>
          <w:szCs w:val="20"/>
        </w:rPr>
        <w:t xml:space="preserve"> </w:t>
      </w:r>
      <w:r w:rsidR="0092713F">
        <w:rPr>
          <w:rFonts w:ascii="Verdana" w:hAnsi="Verdana"/>
          <w:color w:val="000000" w:themeColor="text1"/>
          <w:sz w:val="20"/>
          <w:szCs w:val="20"/>
        </w:rPr>
        <w:t>It</w:t>
      </w:r>
      <w:r>
        <w:rPr>
          <w:rFonts w:ascii="Verdana" w:hAnsi="Verdana"/>
          <w:color w:val="000000" w:themeColor="text1"/>
          <w:sz w:val="20"/>
          <w:szCs w:val="20"/>
        </w:rPr>
        <w:t xml:space="preserve"> reinforces our determination to push ahead with our </w:t>
      </w:r>
      <w:r>
        <w:rPr>
          <w:rFonts w:ascii="Verdana" w:hAnsi="Verdana"/>
          <w:sz w:val="20"/>
          <w:szCs w:val="20"/>
        </w:rPr>
        <w:t xml:space="preserve">approach in treating </w:t>
      </w:r>
      <w:r w:rsidR="007947C7">
        <w:rPr>
          <w:rFonts w:ascii="Verdana" w:hAnsi="Verdana"/>
          <w:sz w:val="20"/>
          <w:szCs w:val="20"/>
        </w:rPr>
        <w:t>acute liver diseases</w:t>
      </w:r>
      <w:r>
        <w:rPr>
          <w:rFonts w:ascii="Verdana" w:hAnsi="Verdana"/>
          <w:sz w:val="20"/>
          <w:szCs w:val="20"/>
        </w:rPr>
        <w:t xml:space="preserve"> and serious ophthalmologic disorders,” said </w:t>
      </w:r>
      <w:proofErr w:type="spellStart"/>
      <w:r>
        <w:rPr>
          <w:rFonts w:ascii="Verdana" w:hAnsi="Verdana"/>
          <w:sz w:val="20"/>
          <w:szCs w:val="20"/>
        </w:rPr>
        <w:t>Morgane</w:t>
      </w:r>
      <w:proofErr w:type="spellEnd"/>
      <w:r>
        <w:rPr>
          <w:rFonts w:ascii="Verdana" w:hAnsi="Verdana"/>
          <w:sz w:val="20"/>
          <w:szCs w:val="20"/>
        </w:rPr>
        <w:t xml:space="preserve"> </w:t>
      </w:r>
      <w:proofErr w:type="spellStart"/>
      <w:r>
        <w:rPr>
          <w:rFonts w:ascii="Verdana" w:hAnsi="Verdana"/>
          <w:sz w:val="20"/>
          <w:szCs w:val="20"/>
        </w:rPr>
        <w:t>Rousselot</w:t>
      </w:r>
      <w:proofErr w:type="spellEnd"/>
      <w:r>
        <w:rPr>
          <w:rFonts w:ascii="Verdana" w:hAnsi="Verdana"/>
          <w:sz w:val="20"/>
          <w:szCs w:val="20"/>
        </w:rPr>
        <w:t xml:space="preserve">, CEO and co-founder of </w:t>
      </w:r>
      <w:proofErr w:type="spellStart"/>
      <w:r>
        <w:rPr>
          <w:rFonts w:ascii="Verdana" w:hAnsi="Verdana"/>
          <w:sz w:val="20"/>
          <w:szCs w:val="20"/>
        </w:rPr>
        <w:t>SeaBeLife</w:t>
      </w:r>
      <w:proofErr w:type="spellEnd"/>
      <w:r>
        <w:rPr>
          <w:rFonts w:ascii="Verdana" w:hAnsi="Verdana"/>
          <w:sz w:val="20"/>
          <w:szCs w:val="20"/>
        </w:rPr>
        <w:t>. “This achievement comes at a time when we are actively preparing a Series A fundraising with venture capital funds, institutional funds and family offices.”</w:t>
      </w:r>
    </w:p>
    <w:p w14:paraId="6C1E7BF5" w14:textId="77777777" w:rsidR="00F02B3E" w:rsidRDefault="00F02B3E" w:rsidP="0062160F">
      <w:pPr>
        <w:ind w:right="1140"/>
        <w:jc w:val="both"/>
        <w:rPr>
          <w:rFonts w:ascii="Verdana" w:hAnsi="Verdana"/>
          <w:bCs/>
          <w:sz w:val="20"/>
          <w:szCs w:val="20"/>
        </w:rPr>
      </w:pPr>
    </w:p>
    <w:p w14:paraId="68866023" w14:textId="42F54F7C" w:rsidR="00F02B3E" w:rsidRDefault="007232EE">
      <w:pPr>
        <w:pStyle w:val="BodytextAgency"/>
        <w:spacing w:after="0" w:line="240" w:lineRule="auto"/>
        <w:ind w:left="993" w:right="1140"/>
        <w:jc w:val="both"/>
        <w:rPr>
          <w:sz w:val="20"/>
          <w:szCs w:val="20"/>
        </w:rPr>
      </w:pPr>
      <w:r>
        <w:rPr>
          <w:sz w:val="20"/>
          <w:szCs w:val="20"/>
        </w:rPr>
        <w:t xml:space="preserve">SBL01 is a </w:t>
      </w:r>
      <w:r>
        <w:rPr>
          <w:color w:val="000000"/>
          <w:sz w:val="20"/>
          <w:szCs w:val="20"/>
        </w:rPr>
        <w:t xml:space="preserve">first-in-class small molecule </w:t>
      </w:r>
      <w:r w:rsidR="0092713F">
        <w:rPr>
          <w:color w:val="000000"/>
          <w:sz w:val="20"/>
          <w:szCs w:val="20"/>
        </w:rPr>
        <w:t>‘</w:t>
      </w:r>
      <w:r>
        <w:rPr>
          <w:color w:val="000000"/>
          <w:sz w:val="20"/>
          <w:szCs w:val="20"/>
        </w:rPr>
        <w:t>dual inhibitor of both necroptosis and ferroptosis</w:t>
      </w:r>
      <w:r w:rsidR="0092713F">
        <w:rPr>
          <w:color w:val="000000"/>
          <w:sz w:val="20"/>
          <w:szCs w:val="20"/>
        </w:rPr>
        <w:t>’</w:t>
      </w:r>
      <w:r w:rsidR="00504F6B">
        <w:rPr>
          <w:color w:val="000000"/>
          <w:sz w:val="20"/>
          <w:szCs w:val="20"/>
        </w:rPr>
        <w:t>.</w:t>
      </w:r>
      <w:r>
        <w:rPr>
          <w:color w:val="000000"/>
          <w:sz w:val="20"/>
          <w:szCs w:val="20"/>
        </w:rPr>
        <w:t xml:space="preserve"> Regulated cell death, such as necroptosis and ferroptosis, are key processes in acute liver failure</w:t>
      </w:r>
      <w:r w:rsidR="0096418C">
        <w:rPr>
          <w:color w:val="000000"/>
          <w:sz w:val="20"/>
          <w:szCs w:val="20"/>
        </w:rPr>
        <w:t xml:space="preserve"> where cells degenerate abruptly</w:t>
      </w:r>
      <w:r>
        <w:rPr>
          <w:color w:val="000000"/>
          <w:sz w:val="20"/>
          <w:szCs w:val="20"/>
        </w:rPr>
        <w:t xml:space="preserve">. </w:t>
      </w:r>
      <w:r>
        <w:rPr>
          <w:sz w:val="20"/>
          <w:szCs w:val="20"/>
        </w:rPr>
        <w:t xml:space="preserve">The company’s molecule is capable of </w:t>
      </w:r>
      <w:r w:rsidR="0096418C">
        <w:rPr>
          <w:sz w:val="20"/>
          <w:szCs w:val="20"/>
        </w:rPr>
        <w:t>specifically</w:t>
      </w:r>
      <w:r>
        <w:rPr>
          <w:sz w:val="20"/>
          <w:szCs w:val="20"/>
        </w:rPr>
        <w:t xml:space="preserve"> </w:t>
      </w:r>
      <w:r w:rsidR="0096418C">
        <w:rPr>
          <w:sz w:val="20"/>
          <w:szCs w:val="20"/>
        </w:rPr>
        <w:t>inhibiting</w:t>
      </w:r>
      <w:r>
        <w:rPr>
          <w:sz w:val="20"/>
          <w:szCs w:val="20"/>
        </w:rPr>
        <w:t xml:space="preserve"> the induction cascade of the</w:t>
      </w:r>
      <w:r w:rsidR="0096418C">
        <w:rPr>
          <w:sz w:val="20"/>
          <w:szCs w:val="20"/>
        </w:rPr>
        <w:t>se two</w:t>
      </w:r>
      <w:r>
        <w:rPr>
          <w:sz w:val="20"/>
          <w:szCs w:val="20"/>
        </w:rPr>
        <w:t xml:space="preserve"> cell death mechanisms and thereby enabling cellular protection </w:t>
      </w:r>
      <w:r w:rsidR="00B455D0">
        <w:rPr>
          <w:sz w:val="20"/>
          <w:szCs w:val="20"/>
        </w:rPr>
        <w:t>and</w:t>
      </w:r>
      <w:r>
        <w:rPr>
          <w:sz w:val="20"/>
          <w:szCs w:val="20"/>
        </w:rPr>
        <w:t xml:space="preserve"> restoration</w:t>
      </w:r>
      <w:r w:rsidR="0096418C">
        <w:rPr>
          <w:sz w:val="20"/>
          <w:szCs w:val="20"/>
        </w:rPr>
        <w:t xml:space="preserve"> of liver function</w:t>
      </w:r>
      <w:r>
        <w:rPr>
          <w:sz w:val="20"/>
          <w:szCs w:val="20"/>
        </w:rPr>
        <w:t>.</w:t>
      </w:r>
    </w:p>
    <w:p w14:paraId="0622FB8E" w14:textId="77777777" w:rsidR="00F02B3E" w:rsidRDefault="00F02B3E">
      <w:pPr>
        <w:pStyle w:val="BodytextAgency"/>
        <w:spacing w:after="0" w:line="240" w:lineRule="auto"/>
        <w:ind w:left="993" w:right="1140"/>
        <w:jc w:val="both"/>
        <w:rPr>
          <w:color w:val="000000"/>
          <w:sz w:val="20"/>
          <w:szCs w:val="20"/>
        </w:rPr>
      </w:pPr>
    </w:p>
    <w:p w14:paraId="6BBD15FD" w14:textId="383803F7" w:rsidR="00F02B3E" w:rsidRDefault="00F02B3E">
      <w:pPr>
        <w:widowControl/>
        <w:shd w:val="clear" w:color="auto" w:fill="FFFFFF"/>
        <w:ind w:right="1140"/>
        <w:jc w:val="both"/>
        <w:rPr>
          <w:rFonts w:ascii="Verdana" w:hAnsi="Verdana"/>
          <w:bCs/>
          <w:sz w:val="20"/>
          <w:szCs w:val="20"/>
        </w:rPr>
      </w:pPr>
    </w:p>
    <w:p w14:paraId="50018E7C" w14:textId="77777777" w:rsidR="00F02B3E" w:rsidRDefault="007232EE">
      <w:pPr>
        <w:ind w:left="993" w:right="1140"/>
        <w:jc w:val="both"/>
        <w:rPr>
          <w:rFonts w:ascii="Verdana" w:hAnsi="Verdana"/>
          <w:bCs/>
          <w:sz w:val="20"/>
          <w:szCs w:val="20"/>
        </w:rPr>
      </w:pPr>
      <w:r>
        <w:rPr>
          <w:rFonts w:ascii="Verdana" w:hAnsi="Verdana"/>
          <w:b/>
          <w:color w:val="00A9CE"/>
          <w:sz w:val="20"/>
          <w:szCs w:val="20"/>
        </w:rPr>
        <w:t xml:space="preserve">About regulated cell death and </w:t>
      </w:r>
      <w:proofErr w:type="spellStart"/>
      <w:r>
        <w:rPr>
          <w:rFonts w:ascii="Verdana" w:hAnsi="Verdana"/>
          <w:b/>
          <w:color w:val="00A9CE"/>
          <w:sz w:val="20"/>
          <w:szCs w:val="20"/>
        </w:rPr>
        <w:t>SeaBeLife’s</w:t>
      </w:r>
      <w:proofErr w:type="spellEnd"/>
      <w:r>
        <w:rPr>
          <w:rFonts w:ascii="Verdana" w:hAnsi="Verdana"/>
          <w:b/>
          <w:color w:val="00A9CE"/>
          <w:sz w:val="20"/>
          <w:szCs w:val="20"/>
        </w:rPr>
        <w:t xml:space="preserve"> technology </w:t>
      </w:r>
    </w:p>
    <w:p w14:paraId="66C40363" w14:textId="741F3180" w:rsidR="00F02B3E" w:rsidRDefault="007232EE">
      <w:pPr>
        <w:ind w:left="993" w:right="1140"/>
        <w:jc w:val="both"/>
        <w:rPr>
          <w:rFonts w:ascii="Verdana" w:eastAsia="Times New Roman" w:hAnsi="Verdana" w:cs="Times New Roman"/>
          <w:sz w:val="20"/>
          <w:szCs w:val="20"/>
          <w:lang w:eastAsia="en-GB"/>
        </w:rPr>
      </w:pPr>
      <w:r>
        <w:rPr>
          <w:rFonts w:ascii="Verdana" w:eastAsia="Times New Roman" w:hAnsi="Verdana" w:cs="Times New Roman"/>
          <w:sz w:val="20"/>
          <w:szCs w:val="20"/>
          <w:lang w:eastAsia="en-GB"/>
        </w:rPr>
        <w:t>When a cell die</w:t>
      </w:r>
      <w:r w:rsidR="0096418C">
        <w:rPr>
          <w:rFonts w:ascii="Verdana" w:eastAsia="Times New Roman" w:hAnsi="Verdana" w:cs="Times New Roman"/>
          <w:sz w:val="20"/>
          <w:szCs w:val="20"/>
          <w:lang w:eastAsia="en-GB"/>
        </w:rPr>
        <w:t>s</w:t>
      </w:r>
      <w:r>
        <w:rPr>
          <w:rFonts w:ascii="Verdana" w:eastAsia="Times New Roman" w:hAnsi="Verdana" w:cs="Times New Roman"/>
          <w:sz w:val="20"/>
          <w:szCs w:val="20"/>
          <w:lang w:eastAsia="en-GB"/>
        </w:rPr>
        <w:t>, there are several modes in which it can do so. In the case of certain pathologies, a phenomenon called necroptosis occurs, which is a form of regulated necrosis. Unfortunately, necroptosis results in inflammation, which damages surrounding</w:t>
      </w:r>
      <w:r w:rsidR="00504F6B">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 xml:space="preserve">tissue. </w:t>
      </w:r>
      <w:proofErr w:type="spellStart"/>
      <w:r>
        <w:rPr>
          <w:rFonts w:ascii="Verdana" w:eastAsia="Times New Roman" w:hAnsi="Verdana" w:cs="Times New Roman"/>
          <w:sz w:val="20"/>
          <w:szCs w:val="20"/>
          <w:lang w:eastAsia="en-GB"/>
        </w:rPr>
        <w:t>SeaBeLife’s</w:t>
      </w:r>
      <w:proofErr w:type="spellEnd"/>
      <w:r>
        <w:rPr>
          <w:rFonts w:ascii="Verdana" w:eastAsia="Times New Roman" w:hAnsi="Verdana" w:cs="Times New Roman"/>
          <w:sz w:val="20"/>
          <w:szCs w:val="20"/>
          <w:lang w:eastAsia="en-GB"/>
        </w:rPr>
        <w:t xml:space="preserve"> molecules have a unique property that make them particularly effective in fighting necroptosis; they also </w:t>
      </w:r>
      <w:r w:rsidR="0096418C">
        <w:rPr>
          <w:rFonts w:ascii="Verdana" w:eastAsia="Times New Roman" w:hAnsi="Verdana" w:cs="Times New Roman"/>
          <w:sz w:val="20"/>
          <w:szCs w:val="20"/>
          <w:lang w:eastAsia="en-GB"/>
        </w:rPr>
        <w:t xml:space="preserve">block </w:t>
      </w:r>
      <w:r>
        <w:rPr>
          <w:rFonts w:ascii="Verdana" w:eastAsia="Times New Roman" w:hAnsi="Verdana" w:cs="Times New Roman"/>
          <w:sz w:val="20"/>
          <w:szCs w:val="20"/>
          <w:lang w:eastAsia="en-GB"/>
        </w:rPr>
        <w:t>another specific mode of regulated cell death, ferroptosis</w:t>
      </w:r>
      <w:r w:rsidR="0096418C">
        <w:rPr>
          <w:rFonts w:ascii="Verdana" w:eastAsia="Times New Roman" w:hAnsi="Verdana" w:cs="Times New Roman"/>
          <w:sz w:val="20"/>
          <w:szCs w:val="20"/>
          <w:lang w:eastAsia="en-GB"/>
        </w:rPr>
        <w:t>, making them double action inhibitors</w:t>
      </w:r>
      <w:r>
        <w:rPr>
          <w:rFonts w:ascii="Verdana" w:eastAsia="Times New Roman" w:hAnsi="Verdana" w:cs="Times New Roman"/>
          <w:sz w:val="20"/>
          <w:szCs w:val="20"/>
          <w:lang w:eastAsia="en-GB"/>
        </w:rPr>
        <w:t xml:space="preserve">. </w:t>
      </w:r>
    </w:p>
    <w:p w14:paraId="08C2CCBA" w14:textId="77777777" w:rsidR="00F02B3E" w:rsidRDefault="00F02B3E">
      <w:pPr>
        <w:ind w:left="993" w:right="1140"/>
        <w:jc w:val="both"/>
        <w:rPr>
          <w:rFonts w:ascii="Verdana" w:eastAsia="Times New Roman" w:hAnsi="Verdana" w:cs="Times New Roman"/>
          <w:sz w:val="20"/>
          <w:szCs w:val="20"/>
          <w:lang w:eastAsia="en-GB"/>
        </w:rPr>
      </w:pPr>
    </w:p>
    <w:p w14:paraId="3434B44B" w14:textId="3070ABA6" w:rsidR="00F02B3E" w:rsidRDefault="007232EE">
      <w:pPr>
        <w:ind w:left="993" w:right="1140"/>
        <w:jc w:val="both"/>
        <w:rPr>
          <w:rFonts w:ascii="Verdana" w:hAnsi="Verdana"/>
          <w:sz w:val="20"/>
          <w:szCs w:val="20"/>
        </w:rPr>
      </w:pPr>
      <w:r>
        <w:rPr>
          <w:rFonts w:ascii="Verdana" w:eastAsia="Times New Roman" w:hAnsi="Verdana" w:cs="Times New Roman"/>
          <w:sz w:val="20"/>
          <w:szCs w:val="20"/>
          <w:lang w:eastAsia="en-GB"/>
        </w:rPr>
        <w:t xml:space="preserve">In recent scientific literature, researchers have demonstrated that </w:t>
      </w:r>
      <w:hyperlink r:id="rId14">
        <w:r>
          <w:rPr>
            <w:rStyle w:val="Hyperlink"/>
            <w:rFonts w:ascii="Verdana" w:eastAsia="Times New Roman" w:hAnsi="Verdana" w:cs="Times New Roman"/>
            <w:sz w:val="20"/>
            <w:szCs w:val="20"/>
            <w:lang w:eastAsia="en-GB"/>
          </w:rPr>
          <w:t>this dual action is essential to the inhibition of regulated necrosis</w:t>
        </w:r>
      </w:hyperlink>
      <w:r>
        <w:rPr>
          <w:rFonts w:ascii="Verdana" w:eastAsia="Times New Roman" w:hAnsi="Verdana" w:cs="Times New Roman"/>
          <w:color w:val="0000FF"/>
          <w:sz w:val="20"/>
          <w:szCs w:val="20"/>
          <w:lang w:eastAsia="en-GB"/>
        </w:rPr>
        <w:t xml:space="preserve"> </w:t>
      </w:r>
      <w:r>
        <w:rPr>
          <w:rFonts w:ascii="Verdana" w:eastAsia="Times New Roman" w:hAnsi="Verdana" w:cs="Times New Roman"/>
          <w:sz w:val="20"/>
          <w:szCs w:val="20"/>
          <w:lang w:eastAsia="en-GB"/>
        </w:rPr>
        <w:t xml:space="preserve">in treating certain </w:t>
      </w:r>
      <w:r w:rsidR="0096418C">
        <w:rPr>
          <w:rFonts w:ascii="Verdana" w:eastAsia="Times New Roman" w:hAnsi="Verdana" w:cs="Times New Roman"/>
          <w:sz w:val="20"/>
          <w:szCs w:val="20"/>
          <w:lang w:eastAsia="en-GB"/>
        </w:rPr>
        <w:t xml:space="preserve">complex </w:t>
      </w:r>
      <w:r>
        <w:rPr>
          <w:rFonts w:ascii="Verdana" w:eastAsia="Times New Roman" w:hAnsi="Verdana" w:cs="Times New Roman"/>
          <w:sz w:val="20"/>
          <w:szCs w:val="20"/>
          <w:lang w:eastAsia="en-GB"/>
        </w:rPr>
        <w:t xml:space="preserve">pathologies. The </w:t>
      </w:r>
      <w:r w:rsidR="0096418C">
        <w:rPr>
          <w:rFonts w:ascii="Verdana" w:eastAsia="Times New Roman" w:hAnsi="Verdana" w:cs="Times New Roman"/>
          <w:sz w:val="20"/>
          <w:szCs w:val="20"/>
          <w:lang w:eastAsia="en-GB"/>
        </w:rPr>
        <w:t xml:space="preserve">synergy </w:t>
      </w:r>
      <w:r>
        <w:rPr>
          <w:rFonts w:ascii="Verdana" w:eastAsia="Times New Roman" w:hAnsi="Verdana" w:cs="Times New Roman"/>
          <w:sz w:val="20"/>
          <w:szCs w:val="20"/>
          <w:lang w:eastAsia="en-GB"/>
        </w:rPr>
        <w:t>between necroptosis and ferroptosis triggers cell death</w:t>
      </w:r>
      <w:r w:rsidR="0096418C">
        <w:rPr>
          <w:rFonts w:ascii="Verdana" w:eastAsia="Times New Roman" w:hAnsi="Verdana" w:cs="Times New Roman"/>
          <w:sz w:val="20"/>
          <w:szCs w:val="20"/>
          <w:lang w:eastAsia="en-GB"/>
        </w:rPr>
        <w:t xml:space="preserve"> and rapid organ</w:t>
      </w:r>
      <w:r>
        <w:rPr>
          <w:rFonts w:ascii="Verdana" w:eastAsia="Times New Roman" w:hAnsi="Verdana" w:cs="Times New Roman"/>
          <w:sz w:val="20"/>
          <w:szCs w:val="20"/>
          <w:lang w:eastAsia="en-GB"/>
        </w:rPr>
        <w:t xml:space="preserve"> </w:t>
      </w:r>
      <w:r w:rsidR="0096418C">
        <w:rPr>
          <w:rFonts w:ascii="Verdana" w:eastAsia="Times New Roman" w:hAnsi="Verdana" w:cs="Times New Roman"/>
          <w:sz w:val="20"/>
          <w:szCs w:val="20"/>
          <w:lang w:eastAsia="en-GB"/>
        </w:rPr>
        <w:t>degeneration</w:t>
      </w:r>
      <w:r>
        <w:rPr>
          <w:rFonts w:ascii="Verdana" w:eastAsia="Times New Roman" w:hAnsi="Verdana" w:cs="Times New Roman"/>
          <w:sz w:val="20"/>
          <w:szCs w:val="20"/>
          <w:lang w:eastAsia="en-GB"/>
        </w:rPr>
        <w:t xml:space="preserve">. </w:t>
      </w:r>
    </w:p>
    <w:p w14:paraId="64F567FA" w14:textId="77777777" w:rsidR="00F02B3E" w:rsidRDefault="00F02B3E">
      <w:pPr>
        <w:ind w:left="993" w:right="1140"/>
        <w:jc w:val="both"/>
        <w:rPr>
          <w:rFonts w:ascii="Verdana" w:hAnsi="Verdana"/>
          <w:sz w:val="20"/>
          <w:szCs w:val="20"/>
        </w:rPr>
      </w:pPr>
    </w:p>
    <w:p w14:paraId="35A2CDA5" w14:textId="6D75C1FD" w:rsidR="00F02B3E" w:rsidRDefault="007232EE">
      <w:pPr>
        <w:ind w:left="993" w:right="1140"/>
        <w:jc w:val="both"/>
        <w:rPr>
          <w:rFonts w:ascii="Verdana" w:hAnsi="Verdana"/>
          <w:bCs/>
          <w:strike/>
          <w:sz w:val="20"/>
          <w:szCs w:val="20"/>
        </w:rPr>
      </w:pPr>
      <w:proofErr w:type="spellStart"/>
      <w:r>
        <w:rPr>
          <w:rFonts w:ascii="Verdana" w:hAnsi="Verdana"/>
          <w:sz w:val="20"/>
          <w:szCs w:val="20"/>
        </w:rPr>
        <w:t>SeaBeLife’s</w:t>
      </w:r>
      <w:proofErr w:type="spellEnd"/>
      <w:r>
        <w:rPr>
          <w:rFonts w:ascii="Verdana" w:hAnsi="Verdana"/>
          <w:sz w:val="20"/>
          <w:szCs w:val="20"/>
        </w:rPr>
        <w:t xml:space="preserve"> approach – based on </w:t>
      </w:r>
      <w:r w:rsidR="0096418C">
        <w:rPr>
          <w:rFonts w:ascii="Verdana" w:hAnsi="Verdana"/>
          <w:sz w:val="20"/>
          <w:szCs w:val="20"/>
        </w:rPr>
        <w:t>dual action</w:t>
      </w:r>
      <w:r>
        <w:rPr>
          <w:rFonts w:ascii="Verdana" w:hAnsi="Verdana"/>
          <w:sz w:val="20"/>
          <w:szCs w:val="20"/>
        </w:rPr>
        <w:t xml:space="preserve"> molecules that simultaneously target two different pathological cell death pathways – is unique in tackling the complex crosstalk between them, unlike other treatments that tend to target a single pathway. As a result, </w:t>
      </w:r>
      <w:proofErr w:type="spellStart"/>
      <w:r>
        <w:rPr>
          <w:rFonts w:ascii="Verdana" w:hAnsi="Verdana"/>
          <w:sz w:val="20"/>
          <w:szCs w:val="20"/>
        </w:rPr>
        <w:t>SeaBeLife’s</w:t>
      </w:r>
      <w:proofErr w:type="spellEnd"/>
      <w:r>
        <w:rPr>
          <w:rFonts w:ascii="Verdana" w:hAnsi="Verdana"/>
          <w:sz w:val="20"/>
          <w:szCs w:val="20"/>
        </w:rPr>
        <w:t xml:space="preserve"> treatment options are more likely to prove effective and reduce the chance of resistance in patients.</w:t>
      </w:r>
    </w:p>
    <w:p w14:paraId="41B7F507" w14:textId="77777777" w:rsidR="00F02B3E" w:rsidRDefault="00F02B3E">
      <w:pPr>
        <w:spacing w:before="2" w:line="247" w:lineRule="auto"/>
        <w:ind w:left="993" w:right="1137"/>
        <w:jc w:val="both"/>
        <w:rPr>
          <w:rFonts w:ascii="Verdana" w:hAnsi="Verdana"/>
          <w:sz w:val="20"/>
        </w:rPr>
      </w:pPr>
    </w:p>
    <w:p w14:paraId="493FEF53" w14:textId="77777777" w:rsidR="00F02B3E" w:rsidRDefault="00F02B3E">
      <w:pPr>
        <w:spacing w:before="2" w:line="247" w:lineRule="auto"/>
        <w:ind w:right="1137"/>
        <w:jc w:val="both"/>
        <w:rPr>
          <w:rFonts w:ascii="Verdana" w:hAnsi="Verdana"/>
          <w:sz w:val="20"/>
        </w:rPr>
      </w:pPr>
    </w:p>
    <w:p w14:paraId="34CD1E91" w14:textId="77777777" w:rsidR="00F02B3E" w:rsidRDefault="007232EE">
      <w:pPr>
        <w:spacing w:before="2" w:line="247" w:lineRule="auto"/>
        <w:ind w:left="993" w:right="1137"/>
        <w:jc w:val="both"/>
        <w:rPr>
          <w:rFonts w:ascii="Verdana" w:hAnsi="Verdana"/>
          <w:sz w:val="20"/>
        </w:rPr>
      </w:pPr>
      <w:r>
        <w:rPr>
          <w:rFonts w:ascii="Verdana" w:hAnsi="Verdana"/>
          <w:noProof/>
          <w:sz w:val="20"/>
          <w:lang w:val="fr-FR" w:eastAsia="fr-FR"/>
        </w:rPr>
        <mc:AlternateContent>
          <mc:Choice Requires="wpg">
            <w:drawing>
              <wp:anchor distT="0" distB="8890" distL="0" distR="0" simplePos="0" relativeHeight="6" behindDoc="0" locked="0" layoutInCell="0" allowOverlap="1" wp14:anchorId="38DA4167" wp14:editId="280BE98E">
                <wp:simplePos x="0" y="0"/>
                <wp:positionH relativeFrom="page">
                  <wp:posOffset>0</wp:posOffset>
                </wp:positionH>
                <wp:positionV relativeFrom="paragraph">
                  <wp:posOffset>42545</wp:posOffset>
                </wp:positionV>
                <wp:extent cx="7560310" cy="4410710"/>
                <wp:effectExtent l="0" t="0" r="0" b="8890"/>
                <wp:wrapNone/>
                <wp:docPr id="5" name="Group 263"/>
                <wp:cNvGraphicFramePr/>
                <a:graphic xmlns:a="http://schemas.openxmlformats.org/drawingml/2006/main">
                  <a:graphicData uri="http://schemas.microsoft.com/office/word/2010/wordprocessingGroup">
                    <wpg:wgp>
                      <wpg:cNvGrpSpPr/>
                      <wpg:grpSpPr>
                        <a:xfrm>
                          <a:off x="0" y="0"/>
                          <a:ext cx="7560360" cy="4410720"/>
                          <a:chOff x="0" y="0"/>
                          <a:chExt cx="7560360" cy="4410720"/>
                        </a:xfrm>
                      </wpg:grpSpPr>
                      <wps:wsp>
                        <wps:cNvPr id="6" name="Rectangle 267"/>
                        <wps:cNvSpPr/>
                        <wps:spPr>
                          <a:xfrm>
                            <a:off x="0" y="0"/>
                            <a:ext cx="7560360" cy="4289400"/>
                          </a:xfrm>
                          <a:prstGeom prst="rect">
                            <a:avLst/>
                          </a:prstGeom>
                          <a:solidFill>
                            <a:srgbClr val="00A9CE"/>
                          </a:solidFill>
                          <a:ln w="0">
                            <a:noFill/>
                          </a:ln>
                        </wps:spPr>
                        <wps:style>
                          <a:lnRef idx="0">
                            <a:scrgbClr r="0" g="0" b="0"/>
                          </a:lnRef>
                          <a:fillRef idx="0">
                            <a:scrgbClr r="0" g="0" b="0"/>
                          </a:fillRef>
                          <a:effectRef idx="0">
                            <a:scrgbClr r="0" g="0" b="0"/>
                          </a:effectRef>
                          <a:fontRef idx="minor"/>
                        </wps:style>
                        <wps:bodyPr/>
                      </wps:wsp>
                      <wps:wsp>
                        <wps:cNvPr id="7" name="Text Box 264"/>
                        <wps:cNvSpPr/>
                        <wps:spPr>
                          <a:xfrm>
                            <a:off x="84600" y="50760"/>
                            <a:ext cx="7374960" cy="4359960"/>
                          </a:xfrm>
                          <a:prstGeom prst="rect">
                            <a:avLst/>
                          </a:prstGeom>
                          <a:noFill/>
                          <a:ln w="0">
                            <a:noFill/>
                          </a:ln>
                        </wps:spPr>
                        <wps:style>
                          <a:lnRef idx="0">
                            <a:scrgbClr r="0" g="0" b="0"/>
                          </a:lnRef>
                          <a:fillRef idx="0">
                            <a:scrgbClr r="0" g="0" b="0"/>
                          </a:fillRef>
                          <a:effectRef idx="0">
                            <a:scrgbClr r="0" g="0" b="0"/>
                          </a:effectRef>
                          <a:fontRef idx="minor"/>
                        </wps:style>
                        <wps:txbx>
                          <w:txbxContent>
                            <w:p w14:paraId="5A76C2D4" w14:textId="77777777" w:rsidR="00F02B3E" w:rsidRDefault="007232EE">
                              <w:pPr>
                                <w:spacing w:after="240"/>
                                <w:ind w:left="851" w:right="991"/>
                                <w:rPr>
                                  <w:rFonts w:ascii="Verdana" w:hAnsi="Verdana"/>
                                  <w:b/>
                                  <w:bCs/>
                                  <w:color w:val="FFFFFF" w:themeColor="background1"/>
                                  <w:sz w:val="20"/>
                                  <w:szCs w:val="20"/>
                                </w:rPr>
                              </w:pPr>
                              <w:r>
                                <w:rPr>
                                  <w:rFonts w:ascii="Verdana" w:hAnsi="Verdana"/>
                                  <w:b/>
                                  <w:color w:val="FFFFFF" w:themeColor="background1"/>
                                  <w:sz w:val="20"/>
                                </w:rPr>
                                <w:t>About SeaBeLife</w:t>
                              </w:r>
                            </w:p>
                            <w:p w14:paraId="191D2359" w14:textId="77777777" w:rsidR="00F02B3E" w:rsidRDefault="007232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right="991"/>
                                <w:jc w:val="both"/>
                                <w:rPr>
                                  <w:rFonts w:ascii="Verdana" w:eastAsiaTheme="minorHAnsi" w:hAnsi="Verdana" w:cs="Helvetica Neue"/>
                                  <w:color w:val="000000"/>
                                  <w:sz w:val="20"/>
                                  <w:szCs w:val="20"/>
                                  <w14:ligatures w14:val="standardContextual"/>
                                </w:rPr>
                              </w:pPr>
                              <w:r>
                                <w:rPr>
                                  <w:rFonts w:ascii="Verdana" w:hAnsi="Verdana"/>
                                  <w:color w:val="000000"/>
                                  <w:sz w:val="20"/>
                                </w:rPr>
                                <w:t>SeaBeLife uses its innovative platform technology to develop small molecules that simultaneously target two different regulated cell death pathways – necroptosis and ferroptosis. With these molecules, it aims to find much-needed solutions for the treatment of rare, acute and chronic diseases. Its main programs include SBL01 for the treatment of severe acute hepatitis and SBL03 for the treatment of dry age-related macular degeneration.</w:t>
                              </w:r>
                            </w:p>
                            <w:p w14:paraId="0DE1C921" w14:textId="57F71CF1" w:rsidR="00F02B3E" w:rsidRDefault="007232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right="991"/>
                                <w:jc w:val="both"/>
                                <w:rPr>
                                  <w:rFonts w:ascii="Verdana" w:eastAsiaTheme="minorHAnsi" w:hAnsi="Verdana" w:cs="Helvetica Neue"/>
                                  <w:color w:val="000000"/>
                                  <w:sz w:val="20"/>
                                  <w:szCs w:val="20"/>
                                  <w14:ligatures w14:val="standardContextual"/>
                                </w:rPr>
                              </w:pPr>
                              <w:r>
                                <w:rPr>
                                  <w:rFonts w:ascii="Verdana" w:hAnsi="Verdana"/>
                                  <w:color w:val="000000"/>
                                  <w:sz w:val="20"/>
                                </w:rPr>
                                <w:t>SeaBeLife’s novel approach is unique in that it targets both necroptosis and ferroptosis simultaneously. There is currently no such dual inhibitor of regulated necrosis available on the market. The ability to target both cell death pathways simultaneously opens up new treatment options for a wide range of acute and chronic conditions. All the company’s research and use cases in this area are protected</w:t>
                              </w:r>
                              <w:r w:rsidR="0092713F">
                                <w:rPr>
                                  <w:rFonts w:ascii="Verdana" w:hAnsi="Verdana"/>
                                  <w:color w:val="000000"/>
                                  <w:sz w:val="20"/>
                                </w:rPr>
                                <w:t>,</w:t>
                              </w:r>
                              <w:r>
                                <w:rPr>
                                  <w:rFonts w:ascii="Verdana" w:hAnsi="Verdana"/>
                                  <w:color w:val="000000"/>
                                  <w:sz w:val="20"/>
                                </w:rPr>
                                <w:t xml:space="preserve"> with some patents already granted in the US and Europe.</w:t>
                              </w:r>
                            </w:p>
                            <w:p w14:paraId="29EDA884" w14:textId="3B4CA50D" w:rsidR="00F02B3E" w:rsidRDefault="007232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right="991"/>
                                <w:jc w:val="both"/>
                                <w:rPr>
                                  <w:rFonts w:ascii="Verdana" w:hAnsi="Verdana"/>
                                  <w:sz w:val="20"/>
                                  <w:szCs w:val="20"/>
                                </w:rPr>
                              </w:pPr>
                              <w:r>
                                <w:rPr>
                                  <w:rFonts w:ascii="Verdana" w:hAnsi="Verdana"/>
                                  <w:sz w:val="20"/>
                                  <w:szCs w:val="20"/>
                                </w:rPr>
                                <w:t xml:space="preserve">Founded in 2019 and based in Roscoff in Brittany, France, SeaBeLife is led by CEO and co-founder Morgane Rousselot, who holds a PhD in biochemistry from Sorbonne University/the French National Center for Scientific Research (CNRS)/Roscoff Marine Station. The company’s activities are based on the research work of Stéphane Bach, PhD, CNRS research engineer and scientific lead at the Roscoff screening platform, Marie-Thérèse Dimanche-Boitrel, research director at IRSET (the French institute for research in environmental and occupational health), and Claire Delehouzé, PhD in  biology, co-founder and CTO at SeaBeLife. </w:t>
                              </w:r>
                            </w:p>
                            <w:p w14:paraId="1D66AC44" w14:textId="77777777" w:rsidR="00F02B3E" w:rsidRDefault="007232EE">
                              <w:pPr>
                                <w:ind w:left="851" w:right="991"/>
                                <w:jc w:val="both"/>
                                <w:rPr>
                                  <w:rFonts w:ascii="Verdana" w:hAnsi="Verdana"/>
                                  <w:sz w:val="20"/>
                                  <w:szCs w:val="20"/>
                                </w:rPr>
                              </w:pPr>
                              <w:r>
                                <w:rPr>
                                  <w:rFonts w:ascii="Verdana" w:hAnsi="Verdana"/>
                                  <w:sz w:val="20"/>
                                </w:rPr>
                                <w:t xml:space="preserve">SeaBeLife currently employs eight people and since its creation has raised €5.5M ($5.86M) in private equity and grants. </w:t>
                              </w:r>
                              <w:r>
                                <w:rPr>
                                  <w:rFonts w:ascii="Verdana" w:hAnsi="Verdana"/>
                                  <w:color w:val="000000"/>
                                  <w:sz w:val="20"/>
                                </w:rPr>
                                <w:t xml:space="preserve">In 2023, the company raised €1.2M ($1.28M) in financing. In 2024 it was among the winners of the i-Nov innovation competition. </w:t>
                              </w:r>
                              <w:r>
                                <w:rPr>
                                  <w:rFonts w:ascii="Verdana" w:hAnsi="Verdana"/>
                                  <w:sz w:val="20"/>
                                </w:rPr>
                                <w:t xml:space="preserve">The company also benefits from the support of numerous partners, including SATT Ouest Valorisation, Biotech Santé Bretagne, </w:t>
                              </w:r>
                              <w:r>
                                <w:rPr>
                                  <w:rFonts w:ascii="Verdana" w:hAnsi="Verdana"/>
                                  <w:sz w:val="20"/>
                                  <w:szCs w:val="20"/>
                                </w:rPr>
                                <w:t>Bpifrance and the regional council of Brittany.</w:t>
                              </w:r>
                            </w:p>
                            <w:p w14:paraId="06EB7E27" w14:textId="77777777" w:rsidR="00F02B3E" w:rsidRDefault="00000000">
                              <w:pPr>
                                <w:ind w:left="851" w:right="991"/>
                                <w:rPr>
                                  <w:rFonts w:ascii="Verdana" w:hAnsi="Verdana"/>
                                  <w:sz w:val="20"/>
                                  <w:szCs w:val="20"/>
                                </w:rPr>
                              </w:pPr>
                              <w:hyperlink r:id="rId15">
                                <w:r w:rsidR="007232EE">
                                  <w:rPr>
                                    <w:rStyle w:val="Hyperlink"/>
                                    <w:rFonts w:ascii="Verdana" w:hAnsi="Verdana"/>
                                    <w:sz w:val="20"/>
                                    <w:szCs w:val="20"/>
                                  </w:rPr>
                                  <w:t>www.seabelife.com</w:t>
                                </w:r>
                              </w:hyperlink>
                              <w:r w:rsidR="007232EE">
                                <w:rPr>
                                  <w:rFonts w:ascii="Verdana" w:hAnsi="Verdana"/>
                                  <w:sz w:val="20"/>
                                  <w:szCs w:val="20"/>
                                </w:rPr>
                                <w:t xml:space="preserve"> </w:t>
                              </w:r>
                            </w:p>
                          </w:txbxContent>
                        </wps:txbx>
                        <wps:bodyPr lIns="0" tIns="0" rIns="0" bIns="0" anchor="t">
                          <a:noAutofit/>
                        </wps:bodyPr>
                      </wps:wsp>
                    </wpg:wgp>
                  </a:graphicData>
                </a:graphic>
              </wp:anchor>
            </w:drawing>
          </mc:Choice>
          <mc:Fallback>
            <w:pict>
              <v:group w14:anchorId="38DA4167" id="Group 263" o:spid="_x0000_s1026" style="position:absolute;left:0;text-align:left;margin-left:0;margin-top:3.35pt;width:595.3pt;height:347.3pt;z-index:6;mso-wrap-distance-left:0;mso-wrap-distance-right:0;mso-wrap-distance-bottom:.7pt;mso-position-horizontal-relative:page" coordsize="75603,441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" o:allowincell="f">
                <v:rect id="Rectangle 267" o:spid="_x0000_s1027" style="position:absolute;width:75603;height:428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" fillcolor="#00a9ce" stroked="f" strokeweight="0"/>
                <v:rect id="Text Box 264" o:spid="_x0000_s1028" style="position:absolute;left:846;top:507;width:73749;height:436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" filled="f" stroked="f" strokeweight="0">
                  <v:textbox inset="0,0,0,0">
                    <w:txbxContent>
                      <w:p w14:paraId="5A76C2D4" w14:textId="77777777" w:rsidR="00F02B3E" w:rsidRDefault="007232EE">
                        <w:pPr>
                          <w:spacing w:after="240"/>
                          <w:ind w:left="851" w:right="991"/>
                          <w:rPr>
                            <w:rFonts w:ascii="Verdana" w:hAnsi="Verdana"/>
                            <w:b/>
                            <w:bCs/>
                            <w:color w:val="FFFFFF" w:themeColor="background1"/>
                            <w:sz w:val="20"/>
                            <w:szCs w:val="20"/>
                          </w:rPr>
                        </w:pPr>
                        <w:r>
                          <w:rPr>
                            <w:rFonts w:ascii="Verdana" w:hAnsi="Verdana"/>
                            <w:b/>
                            <w:color w:val="FFFFFF" w:themeColor="background1"/>
                            <w:sz w:val="20"/>
                          </w:rPr>
                          <w:t>About SeaBeLife</w:t>
                        </w:r>
                      </w:p>
                      <w:p w14:paraId="191D2359" w14:textId="77777777" w:rsidR="00F02B3E" w:rsidRDefault="007232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right="991"/>
                          <w:jc w:val="both"/>
                          <w:rPr>
                            <w:rFonts w:ascii="Verdana" w:eastAsiaTheme="minorHAnsi" w:hAnsi="Verdana" w:cs="Helvetica Neue"/>
                            <w:color w:val="000000"/>
                            <w:sz w:val="20"/>
                            <w:szCs w:val="20"/>
                            <w14:ligatures w14:val="standardContextual"/>
                          </w:rPr>
                        </w:pPr>
                        <w:r>
                          <w:rPr>
                            <w:rFonts w:ascii="Verdana" w:hAnsi="Verdana"/>
                            <w:color w:val="000000"/>
                            <w:sz w:val="20"/>
                          </w:rPr>
                          <w:t>SeaBeLife uses its innovative platform technology to develop small molecules that simultaneously target two different regulated cell death pathways – necroptosis and ferroptosis. With these molecules, it aims to find much-needed solutions for the treatment of rare, acute and chronic diseases. Its main programs include SBL01 for the treatment of severe acute hepatitis and SBL03 for the treatment of dry age-related macular degeneration.</w:t>
                        </w:r>
                      </w:p>
                      <w:p w14:paraId="0DE1C921" w14:textId="57F71CF1" w:rsidR="00F02B3E" w:rsidRDefault="007232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right="991"/>
                          <w:jc w:val="both"/>
                          <w:rPr>
                            <w:rFonts w:ascii="Verdana" w:eastAsiaTheme="minorHAnsi" w:hAnsi="Verdana" w:cs="Helvetica Neue"/>
                            <w:color w:val="000000"/>
                            <w:sz w:val="20"/>
                            <w:szCs w:val="20"/>
                            <w14:ligatures w14:val="standardContextual"/>
                          </w:rPr>
                        </w:pPr>
                        <w:r>
                          <w:rPr>
                            <w:rFonts w:ascii="Verdana" w:hAnsi="Verdana"/>
                            <w:color w:val="000000"/>
                            <w:sz w:val="20"/>
                          </w:rPr>
                          <w:t>SeaBeLife’s novel approach is unique in that it targets both necroptosis and ferroptosis simultaneously. There is currently no such dual inhibitor of regulated necrosis available on the market. The ability to target both cell death pathways simultaneously opens up new treatment options for a wide range of acute and chronic conditions. All the company’s research and use cases in this area are protected</w:t>
                        </w:r>
                        <w:r w:rsidR="0092713F">
                          <w:rPr>
                            <w:rFonts w:ascii="Verdana" w:hAnsi="Verdana"/>
                            <w:color w:val="000000"/>
                            <w:sz w:val="20"/>
                          </w:rPr>
                          <w:t>,</w:t>
                        </w:r>
                        <w:r>
                          <w:rPr>
                            <w:rFonts w:ascii="Verdana" w:hAnsi="Verdana"/>
                            <w:color w:val="000000"/>
                            <w:sz w:val="20"/>
                          </w:rPr>
                          <w:t xml:space="preserve"> with some patents already granted in the US and Europe.</w:t>
                        </w:r>
                      </w:p>
                      <w:p w14:paraId="29EDA884" w14:textId="3B4CA50D" w:rsidR="00F02B3E" w:rsidRDefault="007232E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right="991"/>
                          <w:jc w:val="both"/>
                          <w:rPr>
                            <w:rFonts w:ascii="Verdana" w:hAnsi="Verdana"/>
                            <w:sz w:val="20"/>
                            <w:szCs w:val="20"/>
                          </w:rPr>
                        </w:pPr>
                        <w:r>
                          <w:rPr>
                            <w:rFonts w:ascii="Verdana" w:hAnsi="Verdana"/>
                            <w:sz w:val="20"/>
                            <w:szCs w:val="20"/>
                          </w:rPr>
                          <w:t xml:space="preserve">Founded in 2019 and based in Roscoff in Brittany, France, SeaBeLife is led by CEO and co-founder Morgane Rousselot, who holds a PhD in biochemistry from Sorbonne University/the French National Center for Scientific Research (CNRS)/Roscoff Marine Station. The company’s activities are based on the research work of Stéphane Bach, PhD, CNRS research engineer and scientific lead at the Roscoff screening platform, Marie-Thérèse Dimanche-Boitrel, research director at IRSET (the French institute for research in environmental and occupational health), and Claire Delehouzé, PhD in  biology, co-founder and CTO at SeaBeLife. </w:t>
                        </w:r>
                      </w:p>
                      <w:p w14:paraId="1D66AC44" w14:textId="77777777" w:rsidR="00F02B3E" w:rsidRDefault="007232EE">
                        <w:pPr>
                          <w:ind w:left="851" w:right="991"/>
                          <w:jc w:val="both"/>
                          <w:rPr>
                            <w:rFonts w:ascii="Verdana" w:hAnsi="Verdana"/>
                            <w:sz w:val="20"/>
                            <w:szCs w:val="20"/>
                          </w:rPr>
                        </w:pPr>
                        <w:r>
                          <w:rPr>
                            <w:rFonts w:ascii="Verdana" w:hAnsi="Verdana"/>
                            <w:sz w:val="20"/>
                          </w:rPr>
                          <w:t xml:space="preserve">SeaBeLife currently employs eight people and since its creation has raised €5.5M ($5.86M) in private equity and grants. </w:t>
                        </w:r>
                        <w:r>
                          <w:rPr>
                            <w:rFonts w:ascii="Verdana" w:hAnsi="Verdana"/>
                            <w:color w:val="000000"/>
                            <w:sz w:val="20"/>
                          </w:rPr>
                          <w:t xml:space="preserve">In 2023, the company raised €1.2M ($1.28M) in financing. In 2024 it was among the winners of the i-Nov innovation competition. </w:t>
                        </w:r>
                        <w:r>
                          <w:rPr>
                            <w:rFonts w:ascii="Verdana" w:hAnsi="Verdana"/>
                            <w:sz w:val="20"/>
                          </w:rPr>
                          <w:t xml:space="preserve">The company also benefits from the support of numerous partners, including SATT Ouest Valorisation, Biotech Santé Bretagne, </w:t>
                        </w:r>
                        <w:r>
                          <w:rPr>
                            <w:rFonts w:ascii="Verdana" w:hAnsi="Verdana"/>
                            <w:sz w:val="20"/>
                            <w:szCs w:val="20"/>
                          </w:rPr>
                          <w:t>Bpifrance and the regional council of Brittany.</w:t>
                        </w:r>
                      </w:p>
                      <w:p w14:paraId="06EB7E27" w14:textId="77777777" w:rsidR="00F02B3E" w:rsidRDefault="00000000">
                        <w:pPr>
                          <w:ind w:left="851" w:right="991"/>
                          <w:rPr>
                            <w:rFonts w:ascii="Verdana" w:hAnsi="Verdana"/>
                            <w:sz w:val="20"/>
                            <w:szCs w:val="20"/>
                          </w:rPr>
                        </w:pPr>
                        <w:hyperlink r:id="rId16">
                          <w:r w:rsidR="007232EE">
                            <w:rPr>
                              <w:rStyle w:val="Hyperlink"/>
                              <w:rFonts w:ascii="Verdana" w:hAnsi="Verdana"/>
                              <w:sz w:val="20"/>
                              <w:szCs w:val="20"/>
                            </w:rPr>
                            <w:t>www.seabelife.com</w:t>
                          </w:r>
                        </w:hyperlink>
                        <w:r w:rsidR="007232EE">
                          <w:rPr>
                            <w:rFonts w:ascii="Verdana" w:hAnsi="Verdana"/>
                            <w:sz w:val="20"/>
                            <w:szCs w:val="20"/>
                          </w:rPr>
                          <w:t xml:space="preserve"> </w:t>
                        </w:r>
                      </w:p>
                    </w:txbxContent>
                  </v:textbox>
                </v:rect>
                <w10:wrap anchorx="page"/>
              </v:group>
            </w:pict>
          </mc:Fallback>
        </mc:AlternateContent>
      </w:r>
    </w:p>
    <w:p w14:paraId="3C1A6B3B" w14:textId="77777777" w:rsidR="00F02B3E" w:rsidRDefault="00F02B3E">
      <w:pPr>
        <w:spacing w:before="2" w:line="247" w:lineRule="auto"/>
        <w:ind w:left="993" w:right="1137"/>
        <w:jc w:val="both"/>
        <w:rPr>
          <w:rFonts w:ascii="Verdana" w:hAnsi="Verdana"/>
          <w:sz w:val="20"/>
        </w:rPr>
      </w:pPr>
    </w:p>
    <w:p w14:paraId="5C908602" w14:textId="77777777" w:rsidR="00F02B3E" w:rsidRDefault="00F02B3E">
      <w:pPr>
        <w:spacing w:before="2" w:line="247" w:lineRule="auto"/>
        <w:ind w:left="993" w:right="1137"/>
        <w:jc w:val="both"/>
        <w:rPr>
          <w:rFonts w:ascii="Verdana" w:hAnsi="Verdana"/>
          <w:sz w:val="20"/>
        </w:rPr>
      </w:pPr>
    </w:p>
    <w:p w14:paraId="2F71D0D2" w14:textId="77777777" w:rsidR="00F02B3E" w:rsidRDefault="00F02B3E">
      <w:pPr>
        <w:spacing w:before="2" w:line="247" w:lineRule="auto"/>
        <w:ind w:left="993" w:right="1137"/>
        <w:jc w:val="both"/>
        <w:rPr>
          <w:rFonts w:ascii="Verdana" w:hAnsi="Verdana"/>
          <w:sz w:val="20"/>
        </w:rPr>
      </w:pPr>
    </w:p>
    <w:p w14:paraId="3C64D6D1" w14:textId="77777777" w:rsidR="00F02B3E" w:rsidRDefault="00F02B3E">
      <w:pPr>
        <w:spacing w:before="2" w:line="247" w:lineRule="auto"/>
        <w:ind w:left="993" w:right="1137"/>
        <w:jc w:val="both"/>
        <w:rPr>
          <w:rFonts w:ascii="Verdana" w:hAnsi="Verdana"/>
          <w:sz w:val="20"/>
        </w:rPr>
      </w:pPr>
    </w:p>
    <w:p w14:paraId="0391D131" w14:textId="77777777" w:rsidR="00F02B3E" w:rsidRDefault="00F02B3E">
      <w:pPr>
        <w:spacing w:before="2" w:line="247" w:lineRule="auto"/>
        <w:ind w:left="993" w:right="1137"/>
        <w:jc w:val="both"/>
        <w:rPr>
          <w:rFonts w:ascii="Verdana" w:hAnsi="Verdana"/>
          <w:sz w:val="20"/>
        </w:rPr>
      </w:pPr>
    </w:p>
    <w:p w14:paraId="0C13004C" w14:textId="77777777" w:rsidR="00F02B3E" w:rsidRDefault="00F02B3E">
      <w:pPr>
        <w:spacing w:before="2" w:line="247" w:lineRule="auto"/>
        <w:ind w:left="993" w:right="1137"/>
        <w:jc w:val="both"/>
        <w:rPr>
          <w:rFonts w:ascii="Verdana" w:hAnsi="Verdana"/>
          <w:sz w:val="20"/>
        </w:rPr>
      </w:pPr>
    </w:p>
    <w:p w14:paraId="4FFF1FA0" w14:textId="77777777" w:rsidR="00F02B3E" w:rsidRDefault="00F02B3E">
      <w:pPr>
        <w:spacing w:before="2" w:line="247" w:lineRule="auto"/>
        <w:ind w:left="993" w:right="1137"/>
        <w:jc w:val="both"/>
        <w:rPr>
          <w:rFonts w:ascii="Verdana" w:hAnsi="Verdana"/>
          <w:sz w:val="20"/>
        </w:rPr>
      </w:pPr>
    </w:p>
    <w:p w14:paraId="096D29ED" w14:textId="77777777" w:rsidR="00F02B3E" w:rsidRDefault="00F02B3E">
      <w:pPr>
        <w:spacing w:before="2" w:line="247" w:lineRule="auto"/>
        <w:ind w:left="993" w:right="1137"/>
        <w:jc w:val="both"/>
        <w:rPr>
          <w:rFonts w:ascii="Verdana" w:hAnsi="Verdana"/>
          <w:sz w:val="20"/>
        </w:rPr>
      </w:pPr>
    </w:p>
    <w:p w14:paraId="3BEE12AF" w14:textId="77777777" w:rsidR="00F02B3E" w:rsidRDefault="00F02B3E">
      <w:pPr>
        <w:spacing w:before="2" w:line="247" w:lineRule="auto"/>
        <w:ind w:left="993" w:right="1137"/>
        <w:jc w:val="both"/>
        <w:rPr>
          <w:rFonts w:ascii="Verdana" w:hAnsi="Verdana"/>
          <w:sz w:val="20"/>
        </w:rPr>
      </w:pPr>
    </w:p>
    <w:p w14:paraId="374F9625" w14:textId="77777777" w:rsidR="00F02B3E" w:rsidRDefault="00F02B3E">
      <w:pPr>
        <w:spacing w:before="2" w:line="247" w:lineRule="auto"/>
        <w:ind w:left="993" w:right="1137"/>
        <w:jc w:val="both"/>
        <w:rPr>
          <w:rFonts w:ascii="Verdana" w:hAnsi="Verdana"/>
          <w:bCs/>
          <w:sz w:val="20"/>
          <w:szCs w:val="20"/>
        </w:rPr>
      </w:pPr>
    </w:p>
    <w:p w14:paraId="033FE9BA" w14:textId="77777777" w:rsidR="00F02B3E" w:rsidRDefault="00F02B3E">
      <w:pPr>
        <w:ind w:left="993" w:right="1137"/>
        <w:rPr>
          <w:rFonts w:ascii="Verdana" w:hAnsi="Verdana"/>
          <w:bCs/>
          <w:sz w:val="20"/>
          <w:szCs w:val="20"/>
        </w:rPr>
      </w:pPr>
    </w:p>
    <w:p w14:paraId="45F647B5" w14:textId="77777777" w:rsidR="00F02B3E" w:rsidRDefault="00F02B3E">
      <w:pPr>
        <w:spacing w:before="2" w:line="247" w:lineRule="auto"/>
        <w:ind w:left="993" w:right="1137"/>
        <w:rPr>
          <w:rFonts w:ascii="Verdana" w:hAnsi="Verdana"/>
          <w:b/>
          <w:sz w:val="21"/>
          <w:szCs w:val="24"/>
        </w:rPr>
      </w:pPr>
    </w:p>
    <w:p w14:paraId="1429BB02" w14:textId="77777777" w:rsidR="00F02B3E" w:rsidRDefault="00F02B3E">
      <w:pPr>
        <w:spacing w:before="2" w:line="247" w:lineRule="auto"/>
        <w:ind w:left="993" w:right="1137"/>
        <w:rPr>
          <w:rFonts w:ascii="Verdana" w:hAnsi="Verdana"/>
          <w:b/>
          <w:sz w:val="21"/>
          <w:szCs w:val="24"/>
        </w:rPr>
      </w:pPr>
    </w:p>
    <w:p w14:paraId="1FF7F473" w14:textId="77777777" w:rsidR="00F02B3E" w:rsidRDefault="00F02B3E">
      <w:pPr>
        <w:spacing w:before="2" w:line="247" w:lineRule="auto"/>
        <w:ind w:left="993" w:right="1137"/>
        <w:rPr>
          <w:rFonts w:ascii="Verdana" w:hAnsi="Verdana"/>
          <w:b/>
          <w:sz w:val="21"/>
          <w:szCs w:val="24"/>
        </w:rPr>
      </w:pPr>
    </w:p>
    <w:p w14:paraId="0669A683" w14:textId="77777777" w:rsidR="00F02B3E" w:rsidRDefault="00F02B3E">
      <w:pPr>
        <w:spacing w:before="2" w:line="247" w:lineRule="auto"/>
        <w:ind w:left="993" w:right="1137"/>
        <w:rPr>
          <w:rFonts w:ascii="Verdana" w:hAnsi="Verdana"/>
          <w:b/>
          <w:sz w:val="21"/>
          <w:szCs w:val="24"/>
        </w:rPr>
      </w:pPr>
    </w:p>
    <w:p w14:paraId="1E25B50D" w14:textId="77777777" w:rsidR="00F02B3E" w:rsidRDefault="00F02B3E">
      <w:pPr>
        <w:spacing w:before="2" w:line="247" w:lineRule="auto"/>
        <w:ind w:left="993" w:right="1137"/>
        <w:rPr>
          <w:rFonts w:ascii="Verdana" w:hAnsi="Verdana"/>
          <w:b/>
          <w:sz w:val="21"/>
          <w:szCs w:val="24"/>
        </w:rPr>
      </w:pPr>
    </w:p>
    <w:p w14:paraId="279F75D0" w14:textId="77777777" w:rsidR="00F02B3E" w:rsidRDefault="007232EE">
      <w:pPr>
        <w:spacing w:before="2" w:line="247" w:lineRule="auto"/>
        <w:ind w:left="993" w:right="1137"/>
        <w:rPr>
          <w:rFonts w:ascii="Verdana" w:eastAsia="Verdana" w:hAnsi="Verdana" w:cs="Verdana"/>
          <w:b/>
          <w:bCs/>
          <w:color w:val="00A9CE"/>
          <w:sz w:val="24"/>
          <w:szCs w:val="24"/>
        </w:rPr>
      </w:pPr>
      <w:r>
        <w:rPr>
          <w:rFonts w:ascii="Verdana" w:hAnsi="Verdana"/>
          <w:b/>
          <w:color w:val="00A9CE"/>
          <w:sz w:val="24"/>
        </w:rPr>
        <w:t> </w:t>
      </w:r>
    </w:p>
    <w:p w14:paraId="2B7767FB" w14:textId="77777777" w:rsidR="00F02B3E" w:rsidRDefault="00F02B3E">
      <w:pPr>
        <w:ind w:left="993" w:right="1137"/>
        <w:rPr>
          <w:rFonts w:ascii="Verdana" w:eastAsia="Verdana" w:hAnsi="Verdana" w:cs="Verdana"/>
          <w:sz w:val="24"/>
          <w:szCs w:val="24"/>
        </w:rPr>
      </w:pPr>
    </w:p>
    <w:p w14:paraId="1EDCE399" w14:textId="77777777" w:rsidR="00F02B3E" w:rsidRDefault="00F02B3E">
      <w:pPr>
        <w:ind w:left="993" w:right="1137"/>
        <w:rPr>
          <w:rFonts w:ascii="Verdana" w:eastAsia="Verdana" w:hAnsi="Verdana" w:cs="Verdana"/>
          <w:sz w:val="24"/>
          <w:szCs w:val="24"/>
        </w:rPr>
      </w:pPr>
    </w:p>
    <w:p w14:paraId="1B142F23" w14:textId="77777777" w:rsidR="00F02B3E" w:rsidRDefault="00F02B3E">
      <w:pPr>
        <w:ind w:left="993" w:right="1137"/>
        <w:rPr>
          <w:rFonts w:ascii="Verdana" w:eastAsia="Verdana" w:hAnsi="Verdana" w:cs="Verdana"/>
          <w:sz w:val="24"/>
          <w:szCs w:val="24"/>
        </w:rPr>
      </w:pPr>
    </w:p>
    <w:p w14:paraId="70612149" w14:textId="77777777" w:rsidR="00F02B3E" w:rsidRDefault="00F02B3E">
      <w:pPr>
        <w:ind w:left="993" w:right="1137"/>
        <w:rPr>
          <w:rFonts w:ascii="Verdana" w:eastAsia="Verdana" w:hAnsi="Verdana" w:cs="Verdana"/>
          <w:sz w:val="24"/>
          <w:szCs w:val="24"/>
        </w:rPr>
      </w:pPr>
    </w:p>
    <w:p w14:paraId="5946E9F9" w14:textId="77777777" w:rsidR="00F02B3E" w:rsidRDefault="00F02B3E">
      <w:pPr>
        <w:ind w:left="993" w:right="1137"/>
        <w:rPr>
          <w:rFonts w:ascii="Verdana" w:eastAsia="Verdana" w:hAnsi="Verdana" w:cs="Verdana"/>
          <w:sz w:val="24"/>
          <w:szCs w:val="24"/>
        </w:rPr>
      </w:pPr>
    </w:p>
    <w:p w14:paraId="108AEA6C" w14:textId="77777777" w:rsidR="00F02B3E" w:rsidRDefault="00F02B3E">
      <w:pPr>
        <w:ind w:left="993" w:right="1137"/>
        <w:rPr>
          <w:rFonts w:ascii="Verdana" w:eastAsia="Verdana" w:hAnsi="Verdana" w:cs="Verdana"/>
          <w:sz w:val="24"/>
          <w:szCs w:val="24"/>
        </w:rPr>
      </w:pPr>
    </w:p>
    <w:p w14:paraId="3C4FF977" w14:textId="77777777" w:rsidR="00F02B3E" w:rsidRDefault="00F02B3E">
      <w:pPr>
        <w:ind w:left="993" w:right="1137"/>
        <w:rPr>
          <w:rFonts w:ascii="Verdana" w:eastAsia="Verdana" w:hAnsi="Verdana" w:cs="Verdana"/>
          <w:sz w:val="24"/>
          <w:szCs w:val="24"/>
        </w:rPr>
      </w:pPr>
    </w:p>
    <w:p w14:paraId="632227F7" w14:textId="77777777" w:rsidR="00F02B3E" w:rsidRDefault="00F02B3E">
      <w:pPr>
        <w:ind w:left="993" w:right="1137"/>
        <w:rPr>
          <w:rFonts w:ascii="Verdana" w:eastAsia="Verdana" w:hAnsi="Verdana" w:cs="Verdana"/>
          <w:sz w:val="24"/>
          <w:szCs w:val="24"/>
        </w:rPr>
      </w:pPr>
    </w:p>
    <w:p w14:paraId="3064117D" w14:textId="77777777" w:rsidR="00F02B3E" w:rsidRDefault="00F02B3E">
      <w:pPr>
        <w:ind w:left="993" w:right="1137"/>
        <w:rPr>
          <w:rFonts w:ascii="Verdana" w:eastAsia="Verdana" w:hAnsi="Verdana" w:cs="Verdana"/>
          <w:sz w:val="24"/>
          <w:szCs w:val="24"/>
        </w:rPr>
      </w:pPr>
    </w:p>
    <w:p w14:paraId="09FFAB53" w14:textId="77777777" w:rsidR="00F02B3E" w:rsidRDefault="007232EE">
      <w:pPr>
        <w:ind w:left="993" w:right="1137"/>
        <w:jc w:val="center"/>
        <w:rPr>
          <w:rFonts w:ascii="Verdana" w:hAnsi="Verdana"/>
          <w:bCs/>
          <w:sz w:val="20"/>
        </w:rPr>
      </w:pPr>
      <w:r>
        <w:rPr>
          <w:rFonts w:ascii="Verdana" w:hAnsi="Verdana"/>
          <w:sz w:val="20"/>
        </w:rPr>
        <w:t>Media and analyst contact</w:t>
      </w:r>
    </w:p>
    <w:p w14:paraId="305C4A7F" w14:textId="77777777" w:rsidR="00F02B3E" w:rsidRDefault="007232EE">
      <w:pPr>
        <w:ind w:left="993" w:right="1137"/>
        <w:jc w:val="center"/>
        <w:rPr>
          <w:rFonts w:ascii="Verdana" w:hAnsi="Verdana"/>
          <w:b/>
          <w:sz w:val="20"/>
          <w:szCs w:val="20"/>
        </w:rPr>
      </w:pPr>
      <w:r>
        <w:rPr>
          <w:rFonts w:ascii="Verdana" w:hAnsi="Verdana"/>
          <w:b/>
          <w:sz w:val="20"/>
          <w:szCs w:val="20"/>
        </w:rPr>
        <w:t>Andrew Lloyd and Associates</w:t>
      </w:r>
    </w:p>
    <w:p w14:paraId="5FA2BE94" w14:textId="77777777" w:rsidR="00F02B3E" w:rsidRDefault="00000000">
      <w:pPr>
        <w:ind w:left="993" w:right="1137"/>
        <w:jc w:val="center"/>
        <w:rPr>
          <w:rFonts w:ascii="Verdana" w:hAnsi="Verdana"/>
          <w:b/>
          <w:bCs/>
          <w:sz w:val="20"/>
          <w:szCs w:val="20"/>
          <w:lang w:val="fr-FR"/>
        </w:rPr>
      </w:pPr>
      <w:hyperlink r:id="rId17">
        <w:r w:rsidR="007232EE">
          <w:rPr>
            <w:rStyle w:val="Hyperlink"/>
            <w:rFonts w:ascii="Verdana" w:hAnsi="Verdana"/>
            <w:sz w:val="19"/>
            <w:lang w:val="fr-FR"/>
          </w:rPr>
          <w:t>Céline Gonzalez</w:t>
        </w:r>
      </w:hyperlink>
      <w:r w:rsidR="007232EE">
        <w:rPr>
          <w:rStyle w:val="Hyperlink"/>
          <w:rFonts w:ascii="Verdana" w:hAnsi="Verdana"/>
          <w:sz w:val="19"/>
          <w:lang w:val="fr-FR"/>
        </w:rPr>
        <w:t xml:space="preserve"> </w:t>
      </w:r>
      <w:r w:rsidR="007232EE">
        <w:rPr>
          <w:rFonts w:ascii="Verdana" w:hAnsi="Verdana"/>
          <w:sz w:val="19"/>
          <w:lang w:val="fr-FR"/>
        </w:rPr>
        <w:t xml:space="preserve">/ </w:t>
      </w:r>
      <w:hyperlink r:id="rId18">
        <w:r w:rsidR="007232EE">
          <w:rPr>
            <w:rStyle w:val="Hyperlink"/>
            <w:rFonts w:ascii="Verdana" w:hAnsi="Verdana"/>
            <w:sz w:val="19"/>
            <w:lang w:val="fr-FR"/>
          </w:rPr>
          <w:t>Saffiyah Khalique</w:t>
        </w:r>
      </w:hyperlink>
    </w:p>
    <w:p w14:paraId="017628CF" w14:textId="77777777" w:rsidR="00F02B3E" w:rsidRDefault="007232EE">
      <w:pPr>
        <w:ind w:left="993" w:right="1137"/>
        <w:jc w:val="center"/>
        <w:rPr>
          <w:rFonts w:ascii="Verdana" w:hAnsi="Verdana"/>
          <w:sz w:val="20"/>
          <w:szCs w:val="20"/>
          <w:lang w:val="fr-FR"/>
        </w:rPr>
      </w:pPr>
      <w:r>
        <w:rPr>
          <w:rFonts w:ascii="Verdana" w:hAnsi="Verdana"/>
          <w:sz w:val="20"/>
          <w:szCs w:val="20"/>
          <w:lang w:val="fr-FR"/>
        </w:rPr>
        <w:t>UK +44 1273 952 481</w:t>
      </w:r>
    </w:p>
    <w:p w14:paraId="2D083609" w14:textId="77777777" w:rsidR="00F02B3E" w:rsidRDefault="007232EE">
      <w:pPr>
        <w:ind w:left="993" w:right="1137"/>
        <w:jc w:val="center"/>
        <w:rPr>
          <w:rFonts w:ascii="Verdana" w:hAnsi="Verdana"/>
          <w:sz w:val="20"/>
          <w:szCs w:val="20"/>
          <w:lang w:val="en-GB"/>
        </w:rPr>
      </w:pPr>
      <w:r>
        <w:rPr>
          <w:rFonts w:ascii="Verdana" w:hAnsi="Verdana"/>
          <w:sz w:val="20"/>
          <w:szCs w:val="20"/>
          <w:lang w:val="en-GB"/>
        </w:rPr>
        <w:t xml:space="preserve">US </w:t>
      </w:r>
      <w:r>
        <w:rPr>
          <w:rFonts w:ascii="Verdana" w:hAnsi="Verdana"/>
          <w:sz w:val="20"/>
          <w:szCs w:val="20"/>
        </w:rPr>
        <w:t>+1 203 724 5950</w:t>
      </w:r>
    </w:p>
    <w:p w14:paraId="2F0DD0E3" w14:textId="77777777" w:rsidR="00F02B3E" w:rsidRDefault="00F02B3E">
      <w:pPr>
        <w:rPr>
          <w:rFonts w:ascii="Verdana" w:eastAsia="Verdana" w:hAnsi="Verdana" w:cs="Verdana"/>
          <w:sz w:val="24"/>
          <w:szCs w:val="24"/>
        </w:rPr>
      </w:pPr>
    </w:p>
    <w:sectPr w:rsidR="00F02B3E">
      <w:type w:val="continuous"/>
      <w:pgSz w:w="11906" w:h="16838"/>
      <w:pgMar w:top="777" w:right="0" w:bottom="777" w:left="0" w:header="720" w:footer="720" w:gutter="0"/>
      <w:cols w:space="720"/>
      <w:formProt w:val="0"/>
      <w:titlePg/>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EEB39" w14:textId="77777777" w:rsidR="00F55212" w:rsidRDefault="00F55212">
      <w:r>
        <w:separator/>
      </w:r>
    </w:p>
  </w:endnote>
  <w:endnote w:type="continuationSeparator" w:id="0">
    <w:p w14:paraId="7CA59809" w14:textId="77777777" w:rsidR="00F55212" w:rsidRDefault="00F5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PingFang SC">
    <w:panose1 w:val="020B0604020202020204"/>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4278C" w14:textId="77777777" w:rsidR="00F02B3E" w:rsidRDefault="00F02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D288C" w14:textId="77777777" w:rsidR="00F02B3E" w:rsidRDefault="00F02B3E">
    <w:pPr>
      <w:pStyle w:val="Footer"/>
      <w:tabs>
        <w:tab w:val="clear" w:pos="4536"/>
        <w:tab w:val="clear" w:pos="9072"/>
        <w:tab w:val="center" w:pos="5955"/>
        <w:tab w:val="left" w:pos="8116"/>
      </w:tabs>
      <w:rPr>
        <w:rFonts w:ascii="Verdana" w:hAnsi="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CBF7B" w14:textId="77777777" w:rsidR="00F02B3E" w:rsidRDefault="007232EE">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06D1A" w14:textId="77777777" w:rsidR="00F55212" w:rsidRDefault="00F55212">
      <w:pPr>
        <w:rPr>
          <w:sz w:val="12"/>
        </w:rPr>
      </w:pPr>
      <w:r>
        <w:separator/>
      </w:r>
    </w:p>
  </w:footnote>
  <w:footnote w:type="continuationSeparator" w:id="0">
    <w:p w14:paraId="093EF124" w14:textId="77777777" w:rsidR="00F55212" w:rsidRDefault="00F55212">
      <w:pPr>
        <w:rPr>
          <w:sz w:val="12"/>
        </w:rPr>
      </w:pPr>
      <w:r>
        <w:continuationSeparator/>
      </w:r>
    </w:p>
  </w:footnote>
  <w:footnote w:id="1">
    <w:p w14:paraId="19CAD8DF" w14:textId="77777777" w:rsidR="00B455D0" w:rsidRPr="005850DC" w:rsidRDefault="00B455D0" w:rsidP="00AD45DC">
      <w:pPr>
        <w:pStyle w:val="FootnoteText"/>
        <w:ind w:left="993" w:right="991"/>
        <w:rPr>
          <w:sz w:val="16"/>
          <w:szCs w:val="16"/>
        </w:rPr>
      </w:pPr>
      <w:r w:rsidRPr="005850DC">
        <w:rPr>
          <w:rStyle w:val="FootnoteReference"/>
          <w:sz w:val="16"/>
          <w:szCs w:val="16"/>
        </w:rPr>
        <w:footnoteRef/>
      </w:r>
      <w:r w:rsidRPr="005850DC">
        <w:rPr>
          <w:sz w:val="16"/>
          <w:szCs w:val="16"/>
        </w:rPr>
        <w:t xml:space="preserve"> The incidence data is derived from a large epidemiological study, run over a one-year period in a population of 124,511 people (Mei-Sheng Duh et al, 1999).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D3818" w14:textId="77777777" w:rsidR="00F02B3E" w:rsidRDefault="00F02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EF692" w14:textId="77777777" w:rsidR="00F02B3E" w:rsidRDefault="007232EE">
    <w:pPr>
      <w:pStyle w:val="Header"/>
    </w:pPr>
    <w:r>
      <w:rPr>
        <w:noProof/>
        <w:lang w:val="fr-FR" w:eastAsia="fr-FR"/>
      </w:rPr>
      <mc:AlternateContent>
        <mc:Choice Requires="wps">
          <w:drawing>
            <wp:anchor distT="0" distB="8255" distL="12700" distR="1270" simplePos="0" relativeHeight="2" behindDoc="1" locked="0" layoutInCell="0" allowOverlap="1" wp14:anchorId="66169B59" wp14:editId="0C529654">
              <wp:simplePos x="0" y="0"/>
              <wp:positionH relativeFrom="page">
                <wp:posOffset>1270</wp:posOffset>
              </wp:positionH>
              <wp:positionV relativeFrom="paragraph">
                <wp:posOffset>-467995</wp:posOffset>
              </wp:positionV>
              <wp:extent cx="7821930" cy="627380"/>
              <wp:effectExtent l="12700" t="0" r="13335" b="12700"/>
              <wp:wrapNone/>
              <wp:docPr id="2" name="Freeform 655"/>
              <wp:cNvGraphicFramePr/>
              <a:graphic xmlns:a="http://schemas.openxmlformats.org/drawingml/2006/main">
                <a:graphicData uri="http://schemas.microsoft.com/office/word/2010/wordprocessingShape">
                  <wps:wsp>
                    <wps:cNvSpPr/>
                    <wps:spPr>
                      <a:xfrm flipV="1">
                        <a:off x="0" y="0"/>
                        <a:ext cx="7822080" cy="627480"/>
                      </a:xfrm>
                      <a:custGeom>
                        <a:avLst/>
                        <a:gdLst>
                          <a:gd name="textAreaLeft" fmla="*/ 0 w 4434480"/>
                          <a:gd name="textAreaRight" fmla="*/ 4434840 w 4434480"/>
                          <a:gd name="textAreaTop" fmla="*/ 360 h 355680"/>
                          <a:gd name="textAreaBottom" fmla="*/ 356400 h 355680"/>
                        </a:gdLst>
                        <a:ahLst/>
                        <a:cxnLst/>
                        <a:rect l="textAreaLeft" t="textAreaTop" r="textAreaRight" b="textAreaBottom"/>
                        <a:pathLst>
                          <a:path w="1016">
                            <a:moveTo>
                              <a:pt x="1016" y="0"/>
                            </a:moveTo>
                            <a:lnTo>
                              <a:pt x="0" y="0"/>
                            </a:lnTo>
                          </a:path>
                        </a:pathLst>
                      </a:custGeom>
                      <a:noFill/>
                      <a:ln w="25400">
                        <a:solidFill>
                          <a:srgbClr val="00A9CE"/>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151738F5" id="Freeform 655" o:spid="_x0000_s1026" style="position:absolute;margin-left:.1pt;margin-top:-36.85pt;width:615.9pt;height:49.4pt;flip:y;z-index:-503316478;visibility:visible;mso-wrap-style:square;mso-wrap-distance-left:1pt;mso-wrap-distance-top:0;mso-wrap-distance-right:.1pt;mso-wrap-distance-bottom:.65pt;mso-position-horizontal:absolute;mso-position-horizontal-relative:page;mso-position-vertical:absolute;mso-position-vertical-relative:text;v-text-anchor:top" coordsize="1016,62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" o:allowincell="f" path="m1016,l,e" filled="f" strokecolor="#00a9ce" strokeweight="2pt">
              <v:path arrowok="t" textboxrect="0,635,1016,628750"/>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87E99" w14:textId="77777777" w:rsidR="00F02B3E" w:rsidRDefault="007232EE">
    <w:pPr>
      <w:pStyle w:val="Header"/>
    </w:pPr>
    <w:r>
      <w:rPr>
        <w:noProof/>
        <w:lang w:val="fr-FR" w:eastAsia="fr-FR"/>
      </w:rPr>
      <mc:AlternateContent>
        <mc:Choice Requires="wps">
          <w:drawing>
            <wp:anchor distT="0" distB="8255" distL="12700" distR="1270" simplePos="0" relativeHeight="3" behindDoc="1" locked="0" layoutInCell="0" allowOverlap="1" wp14:anchorId="575DC4B2" wp14:editId="434FB2A3">
              <wp:simplePos x="0" y="0"/>
              <wp:positionH relativeFrom="page">
                <wp:posOffset>6985</wp:posOffset>
              </wp:positionH>
              <wp:positionV relativeFrom="paragraph">
                <wp:posOffset>-291465</wp:posOffset>
              </wp:positionV>
              <wp:extent cx="7821930" cy="627380"/>
              <wp:effectExtent l="12700" t="0" r="13335" b="12700"/>
              <wp:wrapNone/>
              <wp:docPr id="3" name="Freeform 655"/>
              <wp:cNvGraphicFramePr/>
              <a:graphic xmlns:a="http://schemas.openxmlformats.org/drawingml/2006/main">
                <a:graphicData uri="http://schemas.microsoft.com/office/word/2010/wordprocessingShape">
                  <wps:wsp>
                    <wps:cNvSpPr/>
                    <wps:spPr>
                      <a:xfrm flipV="1">
                        <a:off x="0" y="0"/>
                        <a:ext cx="7822080" cy="627480"/>
                      </a:xfrm>
                      <a:custGeom>
                        <a:avLst/>
                        <a:gdLst>
                          <a:gd name="textAreaLeft" fmla="*/ 0 w 4434480"/>
                          <a:gd name="textAreaRight" fmla="*/ 4434840 w 4434480"/>
                          <a:gd name="textAreaTop" fmla="*/ 360 h 355680"/>
                          <a:gd name="textAreaBottom" fmla="*/ 356400 h 355680"/>
                        </a:gdLst>
                        <a:ahLst/>
                        <a:cxnLst/>
                        <a:rect l="textAreaLeft" t="textAreaTop" r="textAreaRight" b="textAreaBottom"/>
                        <a:pathLst>
                          <a:path w="1016">
                            <a:moveTo>
                              <a:pt x="1016" y="0"/>
                            </a:moveTo>
                            <a:lnTo>
                              <a:pt x="0" y="0"/>
                            </a:lnTo>
                          </a:path>
                        </a:pathLst>
                      </a:custGeom>
                      <a:noFill/>
                      <a:ln w="25400">
                        <a:solidFill>
                          <a:srgbClr val="00A9CE"/>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905BE01" id="Freeform 655" o:spid="_x0000_s1026" style="position:absolute;margin-left:.55pt;margin-top:-22.95pt;width:615.9pt;height:49.4pt;flip:y;z-index:-503316477;visibility:visible;mso-wrap-style:square;mso-wrap-distance-left:1pt;mso-wrap-distance-top:0;mso-wrap-distance-right:.1pt;mso-wrap-distance-bottom:.65pt;mso-position-horizontal:absolute;mso-position-horizontal-relative:page;mso-position-vertical:absolute;mso-position-vertical-relative:text;v-text-anchor:top" coordsize="1016,62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" o:allowincell="f" path="m1016,l,e" filled="f" strokecolor="#00a9ce" strokeweight="2pt">
              <v:path arrowok="t" textboxrect="0,635,1016,628750"/>
              <w10:wrap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B3E"/>
    <w:rsid w:val="00086CD0"/>
    <w:rsid w:val="000C5EFA"/>
    <w:rsid w:val="0029140E"/>
    <w:rsid w:val="0035414B"/>
    <w:rsid w:val="0048405A"/>
    <w:rsid w:val="004B2BEE"/>
    <w:rsid w:val="00504F6B"/>
    <w:rsid w:val="00510B58"/>
    <w:rsid w:val="0062160F"/>
    <w:rsid w:val="00666778"/>
    <w:rsid w:val="0067055D"/>
    <w:rsid w:val="00694F9C"/>
    <w:rsid w:val="007232EE"/>
    <w:rsid w:val="007947C7"/>
    <w:rsid w:val="0082453E"/>
    <w:rsid w:val="00850FFF"/>
    <w:rsid w:val="00893D4D"/>
    <w:rsid w:val="008D10FA"/>
    <w:rsid w:val="00906097"/>
    <w:rsid w:val="0092713F"/>
    <w:rsid w:val="0096418C"/>
    <w:rsid w:val="00AD45DC"/>
    <w:rsid w:val="00B336F1"/>
    <w:rsid w:val="00B455D0"/>
    <w:rsid w:val="00B74E7C"/>
    <w:rsid w:val="00BD288A"/>
    <w:rsid w:val="00C3725A"/>
    <w:rsid w:val="00D226F4"/>
    <w:rsid w:val="00D97FDD"/>
    <w:rsid w:val="00E35762"/>
    <w:rsid w:val="00EE0C41"/>
    <w:rsid w:val="00F02B3E"/>
    <w:rsid w:val="00F33ECE"/>
    <w:rsid w:val="00F55212"/>
    <w:rsid w:val="00FB2B0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0D9DA"/>
  <w15:docId w15:val="{BD42A9AF-50C2-42A3-AB6A-3488B4F9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Lucida Sans Unicode" w:eastAsia="Lucida Sans Unicode" w:hAnsi="Lucida Sans Unicode" w:cs="Lucida Sans Unicode"/>
    </w:rPr>
  </w:style>
  <w:style w:type="paragraph" w:styleId="Heading1">
    <w:name w:val="heading 1"/>
    <w:basedOn w:val="Normal"/>
    <w:uiPriority w:val="9"/>
    <w:qFormat/>
    <w:pPr>
      <w:spacing w:before="32" w:line="303" w:lineRule="exact"/>
      <w:ind w:left="1768"/>
      <w:outlineLvl w:val="0"/>
    </w:pPr>
    <w:rPr>
      <w:rFonts w:ascii="Arial" w:eastAsia="Arial" w:hAnsi="Arial" w:cs="Arial"/>
      <w:b/>
      <w:bCs/>
      <w:sz w:val="28"/>
      <w:szCs w:val="28"/>
    </w:rPr>
  </w:style>
  <w:style w:type="paragraph" w:styleId="Heading2">
    <w:name w:val="heading 2"/>
    <w:basedOn w:val="Normal"/>
    <w:uiPriority w:val="9"/>
    <w:unhideWhenUsed/>
    <w:qFormat/>
    <w:pPr>
      <w:spacing w:line="314" w:lineRule="exact"/>
      <w:outlineLvl w:val="1"/>
    </w:pPr>
    <w:rPr>
      <w:rFonts w:ascii="Verdana" w:eastAsia="Verdana" w:hAnsi="Verdana" w:cs="Verdana"/>
      <w:sz w:val="26"/>
      <w:szCs w:val="26"/>
    </w:rPr>
  </w:style>
  <w:style w:type="paragraph" w:styleId="Heading3">
    <w:name w:val="heading 3"/>
    <w:basedOn w:val="Normal"/>
    <w:uiPriority w:val="9"/>
    <w:unhideWhenUsed/>
    <w:qFormat/>
    <w:pPr>
      <w:jc w:val="center"/>
      <w:outlineLvl w:val="2"/>
    </w:pPr>
    <w:rPr>
      <w:rFonts w:ascii="Arial" w:eastAsia="Arial" w:hAnsi="Arial" w:cs="Arial"/>
      <w:b/>
      <w:bCs/>
      <w:sz w:val="20"/>
      <w:szCs w:val="20"/>
    </w:rPr>
  </w:style>
  <w:style w:type="paragraph" w:styleId="Heading4">
    <w:name w:val="heading 4"/>
    <w:basedOn w:val="Normal"/>
    <w:next w:val="Normal"/>
    <w:link w:val="Heading4Char"/>
    <w:uiPriority w:val="9"/>
    <w:semiHidden/>
    <w:unhideWhenUsed/>
    <w:qFormat/>
    <w:rsid w:val="00E3100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B708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310"/>
    <w:rPr>
      <w:color w:val="0000FF" w:themeColor="hyperlink"/>
      <w:u w:val="single"/>
    </w:rPr>
  </w:style>
  <w:style w:type="character" w:customStyle="1" w:styleId="Mentionnonrsolue1">
    <w:name w:val="Mention non résolue1"/>
    <w:basedOn w:val="DefaultParagraphFont"/>
    <w:uiPriority w:val="99"/>
    <w:semiHidden/>
    <w:unhideWhenUsed/>
    <w:qFormat/>
    <w:rsid w:val="00B75310"/>
    <w:rPr>
      <w:color w:val="605E5C"/>
      <w:shd w:val="clear" w:color="auto" w:fill="E1DFDD"/>
    </w:rPr>
  </w:style>
  <w:style w:type="character" w:customStyle="1" w:styleId="Heading4Char">
    <w:name w:val="Heading 4 Char"/>
    <w:basedOn w:val="DefaultParagraphFont"/>
    <w:link w:val="Heading4"/>
    <w:uiPriority w:val="9"/>
    <w:semiHidden/>
    <w:qFormat/>
    <w:rsid w:val="00E31006"/>
    <w:rPr>
      <w:rFonts w:asciiTheme="majorHAnsi" w:eastAsiaTheme="majorEastAsia" w:hAnsiTheme="majorHAnsi" w:cstheme="majorBidi"/>
      <w:i/>
      <w:iCs/>
      <w:color w:val="365F91" w:themeColor="accent1" w:themeShade="BF"/>
      <w:lang w:val="en-US"/>
    </w:rPr>
  </w:style>
  <w:style w:type="character" w:customStyle="1" w:styleId="HeaderChar">
    <w:name w:val="Header Char"/>
    <w:basedOn w:val="DefaultParagraphFont"/>
    <w:link w:val="Header"/>
    <w:uiPriority w:val="99"/>
    <w:qFormat/>
    <w:rsid w:val="007463C3"/>
    <w:rPr>
      <w:rFonts w:ascii="Lucida Sans Unicode" w:eastAsia="Lucida Sans Unicode" w:hAnsi="Lucida Sans Unicode" w:cs="Lucida Sans Unicode"/>
      <w:lang w:val="en-US"/>
    </w:rPr>
  </w:style>
  <w:style w:type="character" w:customStyle="1" w:styleId="FooterChar">
    <w:name w:val="Footer Char"/>
    <w:basedOn w:val="DefaultParagraphFont"/>
    <w:link w:val="Footer"/>
    <w:uiPriority w:val="99"/>
    <w:qFormat/>
    <w:rsid w:val="007463C3"/>
    <w:rPr>
      <w:rFonts w:ascii="Lucida Sans Unicode" w:eastAsia="Lucida Sans Unicode" w:hAnsi="Lucida Sans Unicode" w:cs="Lucida Sans Unicode"/>
      <w:lang w:val="en-US"/>
    </w:rPr>
  </w:style>
  <w:style w:type="character" w:styleId="FollowedHyperlink">
    <w:name w:val="FollowedHyperlink"/>
    <w:basedOn w:val="DefaultParagraphFont"/>
    <w:uiPriority w:val="99"/>
    <w:semiHidden/>
    <w:unhideWhenUsed/>
    <w:rsid w:val="006F3902"/>
    <w:rPr>
      <w:color w:val="800080" w:themeColor="followedHyperlink"/>
      <w:u w:val="single"/>
    </w:rPr>
  </w:style>
  <w:style w:type="character" w:styleId="CommentReference">
    <w:name w:val="annotation reference"/>
    <w:basedOn w:val="DefaultParagraphFont"/>
    <w:uiPriority w:val="99"/>
    <w:semiHidden/>
    <w:unhideWhenUsed/>
    <w:qFormat/>
    <w:rsid w:val="00C313C2"/>
    <w:rPr>
      <w:sz w:val="16"/>
      <w:szCs w:val="16"/>
    </w:rPr>
  </w:style>
  <w:style w:type="character" w:customStyle="1" w:styleId="CommentTextChar">
    <w:name w:val="Comment Text Char"/>
    <w:basedOn w:val="DefaultParagraphFont"/>
    <w:link w:val="CommentText"/>
    <w:uiPriority w:val="99"/>
    <w:qFormat/>
    <w:rsid w:val="00C313C2"/>
    <w:rPr>
      <w:rFonts w:ascii="Lucida Sans Unicode" w:eastAsia="Lucida Sans Unicode" w:hAnsi="Lucida Sans Unicode" w:cs="Lucida Sans Unicode"/>
      <w:sz w:val="20"/>
      <w:szCs w:val="20"/>
      <w:lang w:val="en-US"/>
    </w:rPr>
  </w:style>
  <w:style w:type="character" w:customStyle="1" w:styleId="CommentSubjectChar">
    <w:name w:val="Comment Subject Char"/>
    <w:basedOn w:val="CommentTextChar"/>
    <w:link w:val="CommentSubject"/>
    <w:uiPriority w:val="99"/>
    <w:semiHidden/>
    <w:qFormat/>
    <w:rsid w:val="00C313C2"/>
    <w:rPr>
      <w:rFonts w:ascii="Lucida Sans Unicode" w:eastAsia="Lucida Sans Unicode" w:hAnsi="Lucida Sans Unicode" w:cs="Lucida Sans Unicode"/>
      <w:b/>
      <w:bCs/>
      <w:sz w:val="20"/>
      <w:szCs w:val="20"/>
      <w:lang w:val="en-US"/>
    </w:rPr>
  </w:style>
  <w:style w:type="character" w:customStyle="1" w:styleId="BalloonTextChar">
    <w:name w:val="Balloon Text Char"/>
    <w:basedOn w:val="DefaultParagraphFont"/>
    <w:link w:val="BalloonText"/>
    <w:uiPriority w:val="99"/>
    <w:semiHidden/>
    <w:qFormat/>
    <w:rsid w:val="00754EAA"/>
    <w:rPr>
      <w:rFonts w:ascii="Segoe UI" w:eastAsia="Lucida Sans Unicode" w:hAnsi="Segoe UI" w:cs="Segoe UI"/>
      <w:sz w:val="18"/>
      <w:szCs w:val="18"/>
      <w:lang w:val="en-US"/>
    </w:rPr>
  </w:style>
  <w:style w:type="character" w:customStyle="1" w:styleId="Mentionnonrsolue2">
    <w:name w:val="Mention non résolue2"/>
    <w:basedOn w:val="DefaultParagraphFont"/>
    <w:uiPriority w:val="99"/>
    <w:semiHidden/>
    <w:unhideWhenUsed/>
    <w:qFormat/>
    <w:rsid w:val="00FE2E61"/>
    <w:rPr>
      <w:color w:val="605E5C"/>
      <w:shd w:val="clear" w:color="auto" w:fill="E1DFDD"/>
    </w:rPr>
  </w:style>
  <w:style w:type="character" w:customStyle="1" w:styleId="Heading5Char">
    <w:name w:val="Heading 5 Char"/>
    <w:basedOn w:val="DefaultParagraphFont"/>
    <w:link w:val="Heading5"/>
    <w:uiPriority w:val="9"/>
    <w:semiHidden/>
    <w:qFormat/>
    <w:rsid w:val="004B7084"/>
    <w:rPr>
      <w:rFonts w:asciiTheme="majorHAnsi" w:eastAsiaTheme="majorEastAsia" w:hAnsiTheme="majorHAnsi" w:cstheme="majorBidi"/>
      <w:color w:val="365F91" w:themeColor="accent1" w:themeShade="BF"/>
      <w:lang w:val="en-US"/>
    </w:rPr>
  </w:style>
  <w:style w:type="character" w:customStyle="1" w:styleId="Mentionnonrsolue3">
    <w:name w:val="Mention non résolue3"/>
    <w:basedOn w:val="DefaultParagraphFont"/>
    <w:uiPriority w:val="99"/>
    <w:semiHidden/>
    <w:unhideWhenUsed/>
    <w:qFormat/>
    <w:rsid w:val="00C27947"/>
    <w:rPr>
      <w:color w:val="605E5C"/>
      <w:shd w:val="clear" w:color="auto" w:fill="E1DFDD"/>
    </w:rPr>
  </w:style>
  <w:style w:type="character" w:customStyle="1" w:styleId="Titreducommuniqugris">
    <w:name w:val="Titre du communiqué gris"/>
    <w:basedOn w:val="DefaultParagraphFont"/>
    <w:uiPriority w:val="1"/>
    <w:qFormat/>
    <w:rsid w:val="00665378"/>
    <w:rPr>
      <w:color w:val="C0504D" w:themeColor="accent2"/>
    </w:rPr>
  </w:style>
  <w:style w:type="character" w:customStyle="1" w:styleId="BodytextAgencyChar">
    <w:name w:val="Body text (Agency) Char"/>
    <w:link w:val="BodytextAgency"/>
    <w:qFormat/>
    <w:locked/>
    <w:rsid w:val="00546857"/>
    <w:rPr>
      <w:rFonts w:ascii="Verdana" w:eastAsia="Verdana" w:hAnsi="Verdana" w:cs="Verdana"/>
      <w:sz w:val="18"/>
      <w:szCs w:val="18"/>
      <w:lang w:val="en-GB" w:eastAsia="en-GB"/>
    </w:rPr>
  </w:style>
  <w:style w:type="character" w:customStyle="1" w:styleId="FootnoteTextChar">
    <w:name w:val="Footnote Text Char"/>
    <w:basedOn w:val="DefaultParagraphFont"/>
    <w:link w:val="FootnoteText"/>
    <w:uiPriority w:val="99"/>
    <w:semiHidden/>
    <w:qFormat/>
    <w:rsid w:val="005850DC"/>
    <w:rPr>
      <w:rFonts w:ascii="Lucida Sans Unicode" w:eastAsia="Lucida Sans Unicode" w:hAnsi="Lucida Sans Unicode" w:cs="Lucida Sans Unicode"/>
      <w:sz w:val="20"/>
      <w:szCs w:val="20"/>
    </w:rPr>
  </w:style>
  <w:style w:type="character" w:customStyle="1" w:styleId="Caractresdenotedebasdepage">
    <w:name w:val="Caractères de note de bas de page"/>
    <w:basedOn w:val="DefaultParagraphFont"/>
    <w:uiPriority w:val="99"/>
    <w:semiHidden/>
    <w:unhideWhenUsed/>
    <w:qFormat/>
    <w:rsid w:val="005850DC"/>
    <w:rPr>
      <w:vertAlign w:val="superscript"/>
    </w:rPr>
  </w:style>
  <w:style w:type="character" w:styleId="FootnoteReference">
    <w:name w:val="footnote reference"/>
    <w:uiPriority w:val="99"/>
    <w:rPr>
      <w:vertAlign w:val="superscript"/>
    </w:rPr>
  </w:style>
  <w:style w:type="character" w:styleId="LineNumber">
    <w:name w:val="line number"/>
  </w:style>
  <w:style w:type="character" w:styleId="EndnoteReference">
    <w:name w:val="endnote reference"/>
    <w:rPr>
      <w:vertAlign w:val="superscript"/>
    </w:rPr>
  </w:style>
  <w:style w:type="character" w:customStyle="1" w:styleId="Caractresdenotedefin">
    <w:name w:val="Caractères de note de fin"/>
    <w:qFormat/>
  </w:style>
  <w:style w:type="paragraph" w:styleId="Title">
    <w:name w:val="Title"/>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uiPriority w:val="1"/>
    <w:qFormat/>
    <w:rPr>
      <w:sz w:val="20"/>
      <w:szCs w:val="20"/>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1"/>
    <w:qFormat/>
    <w:pPr>
      <w:ind w:left="143" w:hanging="144"/>
    </w:pPr>
  </w:style>
  <w:style w:type="paragraph" w:customStyle="1" w:styleId="TableParagraph">
    <w:name w:val="Table Paragraph"/>
    <w:basedOn w:val="Normal"/>
    <w:uiPriority w:val="1"/>
    <w:qFormat/>
  </w:style>
  <w:style w:type="paragraph" w:customStyle="1" w:styleId="En-tteetpieddepage">
    <w:name w:val="En-tête et pied de page"/>
    <w:basedOn w:val="Normal"/>
    <w:qFormat/>
  </w:style>
  <w:style w:type="paragraph" w:styleId="Header">
    <w:name w:val="header"/>
    <w:basedOn w:val="Normal"/>
    <w:link w:val="HeaderChar"/>
    <w:uiPriority w:val="99"/>
    <w:unhideWhenUsed/>
    <w:rsid w:val="007463C3"/>
    <w:pPr>
      <w:tabs>
        <w:tab w:val="center" w:pos="4536"/>
        <w:tab w:val="right" w:pos="9072"/>
      </w:tabs>
    </w:pPr>
  </w:style>
  <w:style w:type="paragraph" w:styleId="Footer">
    <w:name w:val="footer"/>
    <w:basedOn w:val="Normal"/>
    <w:link w:val="FooterChar"/>
    <w:uiPriority w:val="99"/>
    <w:unhideWhenUsed/>
    <w:rsid w:val="007463C3"/>
    <w:pPr>
      <w:tabs>
        <w:tab w:val="center" w:pos="4536"/>
        <w:tab w:val="right" w:pos="9072"/>
      </w:tabs>
    </w:pPr>
  </w:style>
  <w:style w:type="paragraph" w:styleId="Revision">
    <w:name w:val="Revision"/>
    <w:uiPriority w:val="99"/>
    <w:semiHidden/>
    <w:qFormat/>
    <w:rsid w:val="005E19E4"/>
    <w:rPr>
      <w:rFonts w:ascii="Lucida Sans Unicode" w:eastAsia="Lucida Sans Unicode" w:hAnsi="Lucida Sans Unicode" w:cs="Lucida Sans Unicode"/>
    </w:rPr>
  </w:style>
  <w:style w:type="paragraph" w:customStyle="1" w:styleId="Contenudecadre">
    <w:name w:val="Contenu de cadre"/>
    <w:basedOn w:val="Normal"/>
    <w:qFormat/>
    <w:rsid w:val="00F762F6"/>
    <w:pPr>
      <w:widowControl/>
    </w:pPr>
    <w:rPr>
      <w:color w:val="00000A"/>
    </w:rPr>
  </w:style>
  <w:style w:type="paragraph" w:styleId="CommentText">
    <w:name w:val="annotation text"/>
    <w:basedOn w:val="Normal"/>
    <w:link w:val="CommentTextChar"/>
    <w:uiPriority w:val="99"/>
    <w:unhideWhenUsed/>
    <w:qFormat/>
    <w:rsid w:val="00C313C2"/>
    <w:rPr>
      <w:sz w:val="20"/>
      <w:szCs w:val="20"/>
    </w:rPr>
  </w:style>
  <w:style w:type="paragraph" w:styleId="CommentSubject">
    <w:name w:val="annotation subject"/>
    <w:basedOn w:val="CommentText"/>
    <w:next w:val="CommentText"/>
    <w:link w:val="CommentSubjectChar"/>
    <w:uiPriority w:val="99"/>
    <w:semiHidden/>
    <w:unhideWhenUsed/>
    <w:qFormat/>
    <w:rsid w:val="00C313C2"/>
    <w:rPr>
      <w:b/>
      <w:bCs/>
    </w:rPr>
  </w:style>
  <w:style w:type="paragraph" w:styleId="BalloonText">
    <w:name w:val="Balloon Text"/>
    <w:basedOn w:val="Normal"/>
    <w:link w:val="BalloonTextChar"/>
    <w:uiPriority w:val="99"/>
    <w:semiHidden/>
    <w:unhideWhenUsed/>
    <w:qFormat/>
    <w:rsid w:val="00754EAA"/>
    <w:rPr>
      <w:rFonts w:ascii="Segoe UI" w:hAnsi="Segoe UI" w:cs="Segoe UI"/>
      <w:sz w:val="18"/>
      <w:szCs w:val="18"/>
    </w:rPr>
  </w:style>
  <w:style w:type="paragraph" w:styleId="NormalWeb">
    <w:name w:val="Normal (Web)"/>
    <w:basedOn w:val="Normal"/>
    <w:uiPriority w:val="99"/>
    <w:semiHidden/>
    <w:unhideWhenUsed/>
    <w:qFormat/>
    <w:rsid w:val="009A5522"/>
    <w:pPr>
      <w:widowControl/>
      <w:spacing w:beforeAutospacing="1" w:afterAutospacing="1"/>
    </w:pPr>
    <w:rPr>
      <w:rFonts w:ascii="Times New Roman" w:eastAsia="Times New Roman" w:hAnsi="Times New Roman" w:cs="Times New Roman"/>
      <w:sz w:val="24"/>
      <w:szCs w:val="24"/>
      <w:lang w:eastAsia="fr-FR"/>
    </w:rPr>
  </w:style>
  <w:style w:type="paragraph" w:customStyle="1" w:styleId="standard">
    <w:name w:val="standard"/>
    <w:basedOn w:val="Normal"/>
    <w:qFormat/>
    <w:rsid w:val="004B7084"/>
    <w:pPr>
      <w:widowControl/>
      <w:spacing w:before="280" w:after="280"/>
    </w:pPr>
    <w:rPr>
      <w:rFonts w:ascii="Times New Roman" w:eastAsia="Times New Roman" w:hAnsi="Times New Roman" w:cs="Times New Roman"/>
      <w:sz w:val="24"/>
      <w:szCs w:val="24"/>
      <w:lang w:eastAsia="fr-FR"/>
    </w:rPr>
  </w:style>
  <w:style w:type="paragraph" w:customStyle="1" w:styleId="BodytextAgency">
    <w:name w:val="Body text (Agency)"/>
    <w:basedOn w:val="Normal"/>
    <w:link w:val="BodytextAgencyChar"/>
    <w:qFormat/>
    <w:rsid w:val="00546857"/>
    <w:pPr>
      <w:widowControl/>
      <w:spacing w:after="140" w:line="280" w:lineRule="atLeast"/>
    </w:pPr>
    <w:rPr>
      <w:rFonts w:ascii="Verdana" w:eastAsia="Verdana" w:hAnsi="Verdana" w:cs="Verdana"/>
      <w:sz w:val="18"/>
      <w:szCs w:val="18"/>
      <w:lang w:val="en-GB" w:eastAsia="en-GB"/>
    </w:rPr>
  </w:style>
  <w:style w:type="paragraph" w:styleId="FootnoteText">
    <w:name w:val="footnote text"/>
    <w:basedOn w:val="Normal"/>
    <w:link w:val="FootnoteTextChar"/>
    <w:uiPriority w:val="99"/>
    <w:semiHidden/>
    <w:unhideWhenUsed/>
    <w:rsid w:val="005850DC"/>
    <w:rPr>
      <w:sz w:val="20"/>
      <w:szCs w:val="20"/>
    </w:rPr>
  </w:style>
  <w:style w:type="table" w:customStyle="1" w:styleId="TableNormal1">
    <w:name w:val="Table Normal1"/>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ncbi.nlm.nih.gov/pmc/articles/PMC1403265/" TargetMode="External"/><Relationship Id="rId18" Type="http://schemas.openxmlformats.org/officeDocument/2006/relationships/hyperlink" Target="mailto:saffiyah@ala.associates"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celine@ala.associates" TargetMode="External"/><Relationship Id="rId2" Type="http://schemas.openxmlformats.org/officeDocument/2006/relationships/settings" Target="settings.xml"/><Relationship Id="rId16" Type="http://schemas.openxmlformats.org/officeDocument/2006/relationships/hyperlink" Target="https://www.seabelife.com/e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www.seabelife.com/en/"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pubmed.ncbi.nlm.nih.gov/32302582/"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663</Words>
  <Characters>3784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Rousselot</dc:creator>
  <dc:description/>
  <cp:lastModifiedBy>Mark Tidmarsh</cp:lastModifiedBy>
  <cp:revision>4</cp:revision>
  <cp:lastPrinted>2022-01-06T14:27:00Z</cp:lastPrinted>
  <dcterms:created xsi:type="dcterms:W3CDTF">2024-08-29T13:32:00Z</dcterms:created>
  <dcterms:modified xsi:type="dcterms:W3CDTF">2024-08-30T07:29:00Z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Creator">
    <vt:lpwstr>Adobe InDesign 17.0 (Macintosh)</vt:lpwstr>
  </property>
  <property fmtid="{D5CDD505-2E9C-101B-9397-08002B2CF9AE}" pid="4" name="LastSaved">
    <vt:filetime>2021-12-09T00:00:00Z</vt:filetime>
  </property>
</Properties>
</file>